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B53" w14:textId="77777777" w:rsidR="00D91A7B" w:rsidRPr="00D91A7B" w:rsidRDefault="00D91A7B" w:rsidP="00D91A7B">
      <w:pPr>
        <w:spacing w:before="100" w:beforeAutospacing="1" w:after="100" w:afterAutospacing="1"/>
        <w:outlineLvl w:val="0"/>
        <w:rPr>
          <w:rFonts w:ascii="Roboto" w:eastAsia="Times New Roman" w:hAnsi="Roboto" w:cs="Times New Roman"/>
          <w:color w:val="4D4D4D"/>
          <w:kern w:val="36"/>
          <w:sz w:val="48"/>
          <w:szCs w:val="48"/>
        </w:rPr>
      </w:pPr>
      <w:r w:rsidRPr="00D91A7B">
        <w:rPr>
          <w:rFonts w:ascii="Roboto" w:eastAsia="Times New Roman" w:hAnsi="Roboto" w:cs="Times New Roman"/>
          <w:color w:val="4D4D4D"/>
          <w:kern w:val="36"/>
          <w:sz w:val="48"/>
          <w:szCs w:val="48"/>
        </w:rPr>
        <w:t>THE PEOPLE v. GUSTAVO FERNANDEZ</w:t>
      </w:r>
    </w:p>
    <w:p w14:paraId="2F595998" w14:textId="77777777" w:rsidR="00D91A7B" w:rsidRPr="00D91A7B" w:rsidRDefault="00D91A7B" w:rsidP="00D91A7B">
      <w:pPr>
        <w:rPr>
          <w:rFonts w:ascii="Times New Roman" w:eastAsia="Times New Roman" w:hAnsi="Times New Roman" w:cs="Times New Roman"/>
        </w:rPr>
      </w:pPr>
      <w:r w:rsidRPr="00D91A7B">
        <w:rPr>
          <w:rFonts w:ascii="Times New Roman" w:eastAsia="Times New Roman" w:hAnsi="Times New Roman" w:cs="Times New Roman"/>
          <w:bdr w:val="single" w:sz="6" w:space="0" w:color="CCCCCC" w:frame="1"/>
          <w:shd w:val="clear" w:color="auto" w:fill="F5F5F5"/>
        </w:rPr>
        <w:t>ResetAA</w:t>
      </w:r>
      <w:r w:rsidRPr="00D91A7B">
        <w:rPr>
          <w:rFonts w:ascii="Arial" w:eastAsia="Times New Roman" w:hAnsi="Arial" w:cs="Arial"/>
          <w:sz w:val="17"/>
          <w:szCs w:val="17"/>
          <w:bdr w:val="single" w:sz="6" w:space="0" w:color="CCCCCC" w:frame="1"/>
          <w:shd w:val="clear" w:color="auto" w:fill="F5F5F5"/>
        </w:rPr>
        <w:t>Font size:</w:t>
      </w:r>
      <w:r w:rsidRPr="00D91A7B">
        <w:rPr>
          <w:rFonts w:ascii="Arial" w:eastAsia="Times New Roman" w:hAnsi="Arial" w:cs="Arial"/>
          <w:sz w:val="15"/>
          <w:szCs w:val="15"/>
          <w:bdr w:val="single" w:sz="6" w:space="0" w:color="CCCCCC" w:frame="1"/>
          <w:shd w:val="clear" w:color="auto" w:fill="F5F5F5"/>
        </w:rPr>
        <w:t>Print</w:t>
      </w:r>
    </w:p>
    <w:p w14:paraId="11CED8EA" w14:textId="77777777" w:rsidR="00D91A7B" w:rsidRPr="00D91A7B" w:rsidRDefault="00D91A7B" w:rsidP="00D91A7B">
      <w:pPr>
        <w:spacing w:before="100" w:beforeAutospacing="1" w:after="100" w:afterAutospacing="1"/>
        <w:jc w:val="center"/>
        <w:outlineLvl w:val="1"/>
        <w:rPr>
          <w:rFonts w:ascii="Roboto" w:eastAsia="Times New Roman" w:hAnsi="Roboto" w:cs="Times New Roman"/>
          <w:color w:val="4D4D4D"/>
          <w:sz w:val="36"/>
          <w:szCs w:val="36"/>
        </w:rPr>
      </w:pPr>
      <w:r w:rsidRPr="00D91A7B">
        <w:rPr>
          <w:rFonts w:ascii="Roboto" w:eastAsia="Times New Roman" w:hAnsi="Roboto" w:cs="Times New Roman"/>
          <w:color w:val="4D4D4D"/>
          <w:sz w:val="36"/>
          <w:szCs w:val="36"/>
        </w:rPr>
        <w:t>Court of Appeal, Second District, California.</w:t>
      </w:r>
    </w:p>
    <w:p w14:paraId="4764416E" w14:textId="77777777" w:rsidR="00D91A7B" w:rsidRPr="00D91A7B" w:rsidRDefault="00D91A7B" w:rsidP="00D91A7B">
      <w:pPr>
        <w:spacing w:before="100" w:beforeAutospacing="1" w:after="100" w:afterAutospacing="1"/>
        <w:jc w:val="center"/>
        <w:outlineLvl w:val="3"/>
        <w:rPr>
          <w:rFonts w:ascii="Roboto" w:eastAsia="Times New Roman" w:hAnsi="Roboto" w:cs="Times New Roman"/>
          <w:color w:val="4D4D4D"/>
          <w:sz w:val="27"/>
          <w:szCs w:val="27"/>
        </w:rPr>
      </w:pPr>
      <w:r w:rsidRPr="00D91A7B">
        <w:rPr>
          <w:rFonts w:ascii="Roboto" w:eastAsia="Times New Roman" w:hAnsi="Roboto" w:cs="Times New Roman"/>
          <w:color w:val="4D4D4D"/>
          <w:sz w:val="27"/>
          <w:szCs w:val="27"/>
        </w:rPr>
        <w:t>THE PEOPLE, Plaintiff and Respondent, v. GUSTAVO FERNANDEZ et al., Defendant and Appellant.</w:t>
      </w:r>
    </w:p>
    <w:p w14:paraId="6C2EEA2E" w14:textId="77777777" w:rsidR="00D91A7B" w:rsidRPr="00D91A7B" w:rsidRDefault="00D91A7B" w:rsidP="00D91A7B">
      <w:pPr>
        <w:spacing w:before="100" w:beforeAutospacing="1" w:after="100" w:afterAutospacing="1"/>
        <w:jc w:val="center"/>
        <w:outlineLvl w:val="2"/>
        <w:rPr>
          <w:rFonts w:ascii="Roboto" w:eastAsia="Times New Roman" w:hAnsi="Roboto" w:cs="Times New Roman"/>
          <w:color w:val="4D4D4D"/>
          <w:sz w:val="27"/>
          <w:szCs w:val="27"/>
        </w:rPr>
      </w:pPr>
      <w:r w:rsidRPr="00D91A7B">
        <w:rPr>
          <w:rFonts w:ascii="Roboto" w:eastAsia="Times New Roman" w:hAnsi="Roboto" w:cs="Times New Roman"/>
          <w:color w:val="4D4D4D"/>
          <w:sz w:val="27"/>
          <w:szCs w:val="27"/>
        </w:rPr>
        <w:t>B228776</w:t>
      </w:r>
    </w:p>
    <w:p w14:paraId="5EDAE304" w14:textId="77777777" w:rsidR="00D91A7B" w:rsidRPr="00D91A7B" w:rsidRDefault="00D91A7B" w:rsidP="00D91A7B">
      <w:pPr>
        <w:spacing w:before="100" w:beforeAutospacing="1" w:after="100" w:afterAutospacing="1"/>
        <w:jc w:val="center"/>
        <w:outlineLvl w:val="2"/>
        <w:rPr>
          <w:rFonts w:ascii="Roboto" w:eastAsia="Times New Roman" w:hAnsi="Roboto" w:cs="Times New Roman"/>
          <w:color w:val="4D4D4D"/>
          <w:sz w:val="27"/>
          <w:szCs w:val="27"/>
        </w:rPr>
      </w:pPr>
      <w:r w:rsidRPr="00D91A7B">
        <w:rPr>
          <w:rFonts w:ascii="Roboto" w:eastAsia="Times New Roman" w:hAnsi="Roboto" w:cs="Times New Roman"/>
          <w:color w:val="4D4D4D"/>
          <w:sz w:val="27"/>
          <w:szCs w:val="27"/>
        </w:rPr>
        <w:t>Decided: December 05, 2011</w:t>
      </w:r>
    </w:p>
    <w:p w14:paraId="0E43F77C" w14:textId="77777777" w:rsidR="00D91A7B" w:rsidRPr="00D91A7B" w:rsidRDefault="00D91A7B" w:rsidP="00D91A7B">
      <w:pPr>
        <w:rPr>
          <w:rFonts w:ascii="Times New Roman" w:eastAsia="Times New Roman" w:hAnsi="Times New Roman" w:cs="Times New Roman"/>
        </w:rPr>
      </w:pPr>
      <w:r w:rsidRPr="00D91A7B">
        <w:rPr>
          <w:rFonts w:ascii="Times New Roman" w:eastAsia="Times New Roman" w:hAnsi="Times New Roman" w:cs="Times New Roman"/>
        </w:rPr>
        <w:t>Victor J. Morse, under appointment by the Court of Appeal, for Defendant and Appellant Gustavo Fernandez. Stephen Temko, under appointment by the Court of Appeal, for Defendant and Appellant Gerson Barillas. Kamala D. Harris, Attorney General, Dane R. Gillette, Chief Assistant Attorney General, Pamela C. Hamanaka, Senior Assistant Attorney General, Linda C. Johnson and Theresa A. Patterson, Deputy Attorneys General, for Plaintiff and Respondent.</w:t>
      </w:r>
    </w:p>
    <w:p w14:paraId="6079FA2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NOT TO BE PUBLISHED IN THE OFFICIAL REPORTS</w:t>
      </w:r>
    </w:p>
    <w:p w14:paraId="427EAD84"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This appeal arises out of a gang-related shooting on August 8, 2007, in which Ricardo Favela was killed while standing next to his friend J.M. The jury found defendants and appellants Gustavo Fernandez and Gerson Barillas guilty of first degree murder in violation of Penal Code section 187, subdivision (a).</w:t>
      </w:r>
      <w:bookmarkStart w:id="0" w:name="footnote_ref_1"/>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"footnote_1"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1</w:t>
      </w:r>
      <w:r w:rsidRPr="00D91A7B">
        <w:rPr>
          <w:rFonts w:ascii="Times New Roman" w:eastAsia="Times New Roman" w:hAnsi="Times New Roman" w:cs="Times New Roman"/>
        </w:rPr>
        <w:fldChar w:fldCharType="end"/>
      </w:r>
      <w:bookmarkEnd w:id="0"/>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The jury also found defendants guilty of conspiracy to commit murder and assault of J.M. with a semiautomatic firearm (§</w:t>
      </w:r>
      <w:r w:rsidRPr="00D91A7B">
        <w:rPr>
          <w:rFonts w:ascii="Times New Roman" w:eastAsia="Times New Roman" w:hAnsi="Times New Roman" w:cs="Times New Roman"/>
        </w:rPr>
        <w:t> </w:t>
      </w:r>
      <w:r w:rsidRPr="00D91A7B">
        <w:rPr>
          <w:rFonts w:ascii="Times New Roman" w:eastAsia="Times New Roman" w:hAnsi="Times New Roman" w:cs="Times New Roman"/>
        </w:rPr>
        <w:t>182, subd. (a)(1);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245, subd. (b)). </w:t>
      </w:r>
      <w:r w:rsidRPr="00D91A7B">
        <w:rPr>
          <w:rFonts w:ascii="Times New Roman" w:eastAsia="Times New Roman" w:hAnsi="Times New Roman" w:cs="Times New Roman"/>
        </w:rPr>
        <w:t> </w:t>
      </w:r>
      <w:r w:rsidRPr="00D91A7B">
        <w:rPr>
          <w:rFonts w:ascii="Times New Roman" w:eastAsia="Times New Roman" w:hAnsi="Times New Roman" w:cs="Times New Roman"/>
        </w:rPr>
        <w:t>The jury specially found all three offenses were committed for the benefit of a criminal street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186.22, subd. (b)(4)).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Finally, the jury found Barillas personally and intentionally fired the handgun in committing the murder and assault, and a principal was armed with a firearm as to Fernandez (§</w:t>
      </w:r>
      <w:r w:rsidRPr="00D91A7B">
        <w:rPr>
          <w:rFonts w:ascii="Times New Roman" w:eastAsia="Times New Roman" w:hAnsi="Times New Roman" w:cs="Times New Roman"/>
        </w:rPr>
        <w:t> </w:t>
      </w:r>
      <w:r w:rsidRPr="00D91A7B">
        <w:rPr>
          <w:rFonts w:ascii="Times New Roman" w:eastAsia="Times New Roman" w:hAnsi="Times New Roman" w:cs="Times New Roman"/>
        </w:rPr>
        <w:t>12022.53, subds.(d) &amp; (e)(1)).</w:t>
      </w:r>
      <w:bookmarkStart w:id="1" w:name="footnote_ref_2"/>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"footnote_2"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2</w:t>
      </w:r>
      <w:r w:rsidRPr="00D91A7B">
        <w:rPr>
          <w:rFonts w:ascii="Times New Roman" w:eastAsia="Times New Roman" w:hAnsi="Times New Roman" w:cs="Times New Roman"/>
        </w:rPr>
        <w:fldChar w:fldCharType="end"/>
      </w:r>
      <w:bookmarkEnd w:id="1"/>
    </w:p>
    <w:p w14:paraId="10D38AC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and Barillas were sentenced to 25 years to life for the murder, plus another 25 years to life for the personal weapon use enhancement.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same term was imposed for the conspiracy conviction, but stayed pursuant to section 654.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 determinate term of nine years plus the five-year gang enhancement was imposed for the assault convictions.</w:t>
      </w:r>
    </w:p>
    <w:p w14:paraId="1E7ED3E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In his timely appeal, Fernandez contends:  (1) the trial court prejudicially failed to instruct the jury that his duress defense as to conspiracy and assault could be based on fear of great bodily harm;  and (2) the trial court erroneously and prejudicially admitted gang expert testimony that it was unlikely that defendants' gang would kill Fernandez for failing to shoot Favela as instructed.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Barillas contends there was constitutionally insufficient evidence to support his first degree murder conviction.</w:t>
      </w:r>
    </w:p>
    <w:p w14:paraId="0292EFF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We affirm.</w:t>
      </w:r>
    </w:p>
    <w:p w14:paraId="5A0CF4C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lastRenderedPageBreak/>
        <w:t>STATEMENT OF FACTS</w:t>
      </w:r>
    </w:p>
    <w:p w14:paraId="3E166D07"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I.</w:t>
      </w:r>
      <w:r w:rsidRPr="00D91A7B">
        <w:rPr>
          <w:rFonts w:ascii="Times New Roman" w:eastAsia="Times New Roman" w:hAnsi="Times New Roman" w:cs="Times New Roman"/>
        </w:rPr>
        <w:t> </w:t>
      </w:r>
      <w:r w:rsidRPr="00D91A7B">
        <w:rPr>
          <w:rFonts w:ascii="Times New Roman" w:eastAsia="Times New Roman" w:hAnsi="Times New Roman" w:cs="Times New Roman"/>
        </w:rPr>
        <w:t>Prosecution</w:t>
      </w:r>
    </w:p>
    <w:p w14:paraId="7D617902"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A.</w:t>
      </w:r>
      <w:r w:rsidRPr="00D91A7B">
        <w:rPr>
          <w:rFonts w:ascii="Times New Roman" w:eastAsia="Times New Roman" w:hAnsi="Times New Roman" w:cs="Times New Roman"/>
        </w:rPr>
        <w:t> </w:t>
      </w:r>
      <w:r w:rsidRPr="00D91A7B">
        <w:rPr>
          <w:rFonts w:ascii="Times New Roman" w:eastAsia="Times New Roman" w:hAnsi="Times New Roman" w:cs="Times New Roman"/>
        </w:rPr>
        <w:t>The Shooting</w:t>
      </w:r>
    </w:p>
    <w:p w14:paraId="1F6C4F45"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Favela was fatally shot while standing on the sidewalk with J.M. near the intersection of Eighth and Oxford Streets in Los Angeles, in territory claimed by the Aztlan street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J.M., who lived in that neighborhood for more than 10 years, was 15 years old at the time of the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“jumped” into the Aztlan gang at 12 years old but did not want to be in the gang and did not associate with it.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Favela, known as Hunter, hung out with Aztlan gang members.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rival Mara Salvatrucha street gang (M.S.) operated in territory six to eight blocks away.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Some time before the shooting, J.M. and Favela were chased by approximately eight members of M.S. at Los Angeles High School.</w:t>
      </w:r>
    </w:p>
    <w:p w14:paraId="1929C23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At approximately 5:45 p.m. on the day of the shooting, J.M. and Favela were approached by two males as they were walking north on Oxford Street near the intersection of Eighth Street.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shorter male, identified by J.M. as Fernandez, appeared very nervous and looked around suspiciously.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taller male, whom J.M. identified as Barillas, stood next to Fernandez.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Barillas asked, “Where are you from?”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Favela “flashed his gang sign”—a hand sign in the shape of an “A” for the Aztlan street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J.M. said he “wasn't from nowhere.”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Barillas said, “Mara Salvatrucha.”</w:t>
      </w:r>
    </w:p>
    <w:p w14:paraId="720B872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appeared nervous and “kept on looking around” in the manner of a lookout during this exchange.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Barillas identified himself as M.S., Fernandez pulled up his shirt to reveal a black handgun in his waistband.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J.M. and Favela “froze” in place.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Neither one drew a weapon.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Barillas pulled the gun out of Fernandez's waistband, cocked it back, said, “Mara Salvatrucha controlar aqui,” </w:t>
      </w:r>
      <w:bookmarkStart w:id="2" w:name="footnote_ref_3"/>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"footnote_3"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3</w:t>
      </w:r>
      <w:r w:rsidRPr="00D91A7B">
        <w:rPr>
          <w:rFonts w:ascii="Times New Roman" w:eastAsia="Times New Roman" w:hAnsi="Times New Roman" w:cs="Times New Roman"/>
        </w:rPr>
        <w:fldChar w:fldCharType="end"/>
      </w:r>
      <w:bookmarkEnd w:id="2"/>
      <w:r w:rsidRPr="00D91A7B">
        <w:rPr>
          <w:rFonts w:ascii="Times New Roman" w:eastAsia="Times New Roman" w:hAnsi="Times New Roman" w:cs="Times New Roman"/>
        </w:rPr>
        <w:t xml:space="preserve"> and fired the weapon at Favela from a distance of four to five feet.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shooting, Barillas “flashed his gang sign, M.S.” Fernandez stood by, continuing to look around.</w:t>
      </w:r>
    </w:p>
    <w:p w14:paraId="3F4CA33B"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Barillas also aimed at J.M. and fired.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J.M. tried to run, but tripped, fell, and “blacked out.”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opened his eyes to see Barillas and Fernandez running away together as they turned the corner from Eighth Street onto Western.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Favela suffered a fatal gunshot to the chest.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J.M. was not wounded, but there were two bullet holes in his baggy white T-shirt.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testifying at the preliminary hearing, J.M. “bumped into” some M.S. members, who threatened to kill him and told him “not to show up in court.”</w:t>
      </w:r>
    </w:p>
    <w:p w14:paraId="7A1EF3F5"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Detective Edward Ruffalo responded to the shooting scene.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were three shell casings on the ground.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Detective Mark Holguin testified that the casings were from a nine-millimeter Lugar.</w:t>
      </w:r>
    </w:p>
    <w:p w14:paraId="108202EE"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Thirteen-year-old Jennifer M. witnessed the shooting from where she stood with a friend in front of her apartment building.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Jennifer saw two males, identified as defendants,</w:t>
      </w:r>
      <w:bookmarkStart w:id="3" w:name="footnote_ref_4"/>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"footnote_4"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4</w:t>
      </w:r>
      <w:r w:rsidRPr="00D91A7B">
        <w:rPr>
          <w:rFonts w:ascii="Times New Roman" w:eastAsia="Times New Roman" w:hAnsi="Times New Roman" w:cs="Times New Roman"/>
        </w:rPr>
        <w:fldChar w:fldCharType="end"/>
      </w:r>
      <w:bookmarkEnd w:id="3"/>
      <w:r w:rsidRPr="00D91A7B">
        <w:rPr>
          <w:rFonts w:ascii="Times New Roman" w:eastAsia="Times New Roman" w:hAnsi="Times New Roman" w:cs="Times New Roman"/>
        </w:rPr>
        <w:t xml:space="preserve"> walking toward her.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Barillas was the taller of the two.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males appeared to be angry as they passed by and walked up to Favela, whom she had seen previously in the neighborhood.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Jennifer heard one of </w:t>
      </w:r>
      <w:r w:rsidRPr="00D91A7B">
        <w:rPr>
          <w:rFonts w:ascii="Times New Roman" w:eastAsia="Times New Roman" w:hAnsi="Times New Roman" w:cs="Times New Roman"/>
        </w:rPr>
        <w:lastRenderedPageBreak/>
        <w:t xml:space="preserve">the two males say “Fuck” to Favela in an angry tone.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Suddenly, Fernandez removed a black semiautomatic handgun from his waistband and handed it to Barillas, who pointed the gun at Favela's chest and fired approximately two shots.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Defendants ran in the direction they had come.</w:t>
      </w:r>
    </w:p>
    <w:p w14:paraId="66B720E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A few hours after the shooting, Mario Monroy was hanging out with M.S. members, including Fernandez, whom Monroy knew as Maniac or its Spanish equivalent, Maniaco, in his apartment, eight or nine blocks away from the shooting scene.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Monroy was on “house arrest” at the time.</w:t>
      </w:r>
      <w:bookmarkStart w:id="4" w:name="footnote_ref_5"/>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"footnote_5"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5</w:t>
      </w:r>
      <w:r w:rsidRPr="00D91A7B">
        <w:rPr>
          <w:rFonts w:ascii="Times New Roman" w:eastAsia="Times New Roman" w:hAnsi="Times New Roman" w:cs="Times New Roman"/>
        </w:rPr>
        <w:fldChar w:fldCharType="end"/>
      </w:r>
      <w:bookmarkEnd w:id="4"/>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Fernandez was a M.S. member, but Monroy was not a member of the gang.</w:t>
      </w:r>
      <w:bookmarkStart w:id="5" w:name="footnote_ref_6"/>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"footnote_6"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6</w:t>
      </w:r>
      <w:r w:rsidRPr="00D91A7B">
        <w:rPr>
          <w:rFonts w:ascii="Times New Roman" w:eastAsia="Times New Roman" w:hAnsi="Times New Roman" w:cs="Times New Roman"/>
        </w:rPr>
        <w:fldChar w:fldCharType="end"/>
      </w:r>
      <w:bookmarkEnd w:id="5"/>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Two other gang members were present.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Monroy heard Fernandez speaking to one of the other gang members, whom Monroy knew as Psycho about “a shooting on Oxford.”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said “some other guy” shot the victim because “he didn't have the strength to do it.”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also heard Fernandez say the victim was a member of the Aztlan.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 week later, Monroy found out that Favela had been the victim.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Favela and Monroy had gone to school together, and they were on good terms with each other.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Monroy did not know Favela was a gang member.</w:t>
      </w:r>
    </w:p>
    <w:p w14:paraId="1A77145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B.</w:t>
      </w:r>
      <w:r w:rsidRPr="00D91A7B">
        <w:rPr>
          <w:rFonts w:ascii="Times New Roman" w:eastAsia="Times New Roman" w:hAnsi="Times New Roman" w:cs="Times New Roman"/>
        </w:rPr>
        <w:t> </w:t>
      </w:r>
      <w:r w:rsidRPr="00D91A7B">
        <w:rPr>
          <w:rFonts w:ascii="Times New Roman" w:eastAsia="Times New Roman" w:hAnsi="Times New Roman" w:cs="Times New Roman"/>
        </w:rPr>
        <w:t>The Investigation</w:t>
      </w:r>
    </w:p>
    <w:p w14:paraId="65542B3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Detective Teodoro Urena interviewed Fernandez twice in connection with the Favela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first time was on November 21, 2007, in the police station.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interview was videotaped.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waived his Miranda </w:t>
      </w:r>
      <w:bookmarkStart w:id="6" w:name="footnote_ref_7"/>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"footnote_7"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7</w:t>
      </w:r>
      <w:r w:rsidRPr="00D91A7B">
        <w:rPr>
          <w:rFonts w:ascii="Times New Roman" w:eastAsia="Times New Roman" w:hAnsi="Times New Roman" w:cs="Times New Roman"/>
        </w:rPr>
        <w:fldChar w:fldCharType="end"/>
      </w:r>
      <w:bookmarkEnd w:id="6"/>
      <w:r w:rsidRPr="00D91A7B">
        <w:rPr>
          <w:rFonts w:ascii="Times New Roman" w:eastAsia="Times New Roman" w:hAnsi="Times New Roman" w:cs="Times New Roman"/>
        </w:rPr>
        <w:t xml:space="preserve"> rights and agreed to the interview.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initially denied having taken part in the Favela killing but admitted being a M.S. member.</w:t>
      </w:r>
    </w:p>
    <w:p w14:paraId="6909CB9E"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The second interview took place approximately 40 minutes later, in the detective's patrol car, as he drove Fernandez from the police station to the juvenile detention center.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interview was audiotaped.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admitted that he took part in the shooting incident, which he characterized as a M.S. “job.”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Higher ranking members of the gang instructed Fernandez to carry out that job because “he hadn't put in any work for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a younger or newer member of a gang, it was expected that he do some “work” and “carry out a mission or a job” for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While driving Fernandez around the area of the shooting, Fernandez misidentified persons on the sidewalk as fellow gang members Corrupt and Mysterioso.</w:t>
      </w:r>
    </w:p>
    <w:p w14:paraId="37D55DE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told the detective the shooting was intended as retaliation for two prior incidents, one of which occurred seven months earlier.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saw five or six persons, including Favela, “tagging” a wall near his home.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challenged them, claiming the territory for M.S. Favela pulled out a gun and shot Fernandez in the shoulder.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other incident was a stabbing approximately four weeks before the Favela shooting, in which an Aztlan member was reputed to have attacked a member of the M.S.'s Normandie clique.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motive for the Favela shooting was vengeance.</w:t>
      </w:r>
    </w:p>
    <w:p w14:paraId="0F80BAF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related how two M.S. members, Sospechoso and Mysterioso, were in a red vehicle “scouting the area for Aztlan gang members” prior to the Favela shooting, using a phone or radio to communicate the location of the intended targets.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M.S. members who planned the mission included Chino, Little Man, and Demon.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Detective Urena drove Fernandez around the area of the shooting, Fernandez referred to a member of the Hollywood “clique” of M.S. named Corrupt, who was present during the planning of the mission and was the shooter.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t>
      </w:r>
      <w:r w:rsidRPr="00D91A7B">
        <w:rPr>
          <w:rFonts w:ascii="Times New Roman" w:eastAsia="Times New Roman" w:hAnsi="Times New Roman" w:cs="Times New Roman"/>
        </w:rPr>
        <w:lastRenderedPageBreak/>
        <w:t xml:space="preserve">Fernandez admitted being present when Corrupt approached, challenged, and shot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said both he and Corrupt carried handguns.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received his weapon from Little Man.</w:t>
      </w:r>
    </w:p>
    <w:p w14:paraId="58917137"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told the detective that shortly after the shooting, Corrupt pistol whipped him on the side of the face.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gang also punished Fernandez by giving him a “courtesy” beating because he failed to do the shooting as planned.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that, the gang had no further contact with Fernandez.</w:t>
      </w:r>
    </w:p>
    <w:p w14:paraId="5EB142D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After the Favela shooting, Detective Urena observed gang-related graffiti:  “Aztlan,” “RIP,” and “Hunter” all in Aztlan territory. </w:t>
      </w:r>
      <w:r w:rsidRPr="00D91A7B">
        <w:rPr>
          <w:rFonts w:ascii="Times New Roman" w:eastAsia="Times New Roman" w:hAnsi="Times New Roman" w:cs="Times New Roman"/>
        </w:rPr>
        <w:t> </w:t>
      </w:r>
      <w:r w:rsidRPr="00D91A7B">
        <w:rPr>
          <w:rFonts w:ascii="Times New Roman" w:eastAsia="Times New Roman" w:hAnsi="Times New Roman" w:cs="Times New Roman"/>
        </w:rPr>
        <w:t>“RIP” stood for “rest in peace,” and “Hunter” was Favela's gang moniker.</w:t>
      </w:r>
    </w:p>
    <w:p w14:paraId="515F0A1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C.</w:t>
      </w:r>
      <w:r w:rsidRPr="00D91A7B">
        <w:rPr>
          <w:rFonts w:ascii="Times New Roman" w:eastAsia="Times New Roman" w:hAnsi="Times New Roman" w:cs="Times New Roman"/>
        </w:rPr>
        <w:t> </w:t>
      </w:r>
      <w:r w:rsidRPr="00D91A7B">
        <w:rPr>
          <w:rFonts w:ascii="Times New Roman" w:eastAsia="Times New Roman" w:hAnsi="Times New Roman" w:cs="Times New Roman"/>
        </w:rPr>
        <w:t>Gang Evidence</w:t>
      </w:r>
    </w:p>
    <w:p w14:paraId="46135DE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Detective Claudia Lamas specialized in gang crimes and was familiar with M.S. When she met Fernandez while on patrol on August 16, 2007, he claimed membership in M.S. and said his moniker was El Maniaco.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When the detective stopped Barillas on April 8, 2006, he said he was a two-year member of M.S. and his moniker was Corrupt.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On July 27, 2006, Barillas again admitted his moniker was Corrupt and was a M.S. member, but said he had been a member for four years.</w:t>
      </w:r>
    </w:p>
    <w:p w14:paraId="7006A502"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Officer Hector Marquez testified as the prosecution's gang expert.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familiar with the M.S. gang and its cliques operating in the Wilshire Division.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were approximately 200 members within that area.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Officer Marquez had personal knowledge Barillas was a M.S. member called Corrupt.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unaware of anyone else with that moniker.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Gangs will typically have juvenile members hold their weapons because juveniles are treated more leniently in the court system.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Younger members are expected to “put in work” for the gang, and if they fail to do so, they might get kicked out of the gang or face a 13–second “beat down” by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It is expected that a younger member will take responsibility for criminal acts committed with older members.</w:t>
      </w:r>
    </w:p>
    <w:p w14:paraId="49F5371C"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The Favela shooting occurred in the territory claimed by Aztlan.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M.S. is a criminal street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Based on a hypothetical set of facts consistent with the prosecution evidence, Officer Marquez opined that the Favela shooting was committed to benefit M.S. because the shooters were members who entered a rival gang's territory and shot a member of that rival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Revenge for a prior knife attack by an Aztlan member was one possible motive for the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M.S. culture, the prior attack showed disrespect, and failure to take revenge would show weakness.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order to have influence, the gang wanted a reputation for being willing to commit acts of violence.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Committing acts of violence against a gang located nearby would assist M.S. in expanding its own territory.</w:t>
      </w:r>
    </w:p>
    <w:p w14:paraId="5F5010E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On cross-examination, Officer Marquez testified that if a younger gang member was given a mission to shoot someone and he failed to carry it out, it would hurt the gang's reputation.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gang member would suffer some kind of punishment, “probably get beat up.”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Failure to take part in a gang-ordered shooting would be considered one of the worst kinds of disrespect in gang </w:t>
      </w:r>
      <w:r w:rsidRPr="00D91A7B">
        <w:rPr>
          <w:rFonts w:ascii="Times New Roman" w:eastAsia="Times New Roman" w:hAnsi="Times New Roman" w:cs="Times New Roman"/>
        </w:rPr>
        <w:lastRenderedPageBreak/>
        <w:t xml:space="preserve">culture.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It was very “severe” and could result in a “death warrant,” depending on the situation.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On redirect examination, the expert testified that he would not expect that a young, inexperienced gang member would be killed in circumstances like those in which Fernandez failed to shoot Favela—it would be more likely that he would receive a beating.</w:t>
      </w:r>
    </w:p>
    <w:p w14:paraId="1DA53EB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Detective Urena also testified concerning gang culture.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explained that the more missions a member does for his gang—and the more violent those missions are—the greater the member's status will be within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Conversely, within several months after joining a gang, it would be expected that a new member do something for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If one does not put in an adequate amount of “work” for the gang, the other members will begin to ostracize the new member.</w:t>
      </w:r>
    </w:p>
    <w:p w14:paraId="6762DECB"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II.</w:t>
      </w:r>
      <w:r w:rsidRPr="00D91A7B">
        <w:rPr>
          <w:rFonts w:ascii="Times New Roman" w:eastAsia="Times New Roman" w:hAnsi="Times New Roman" w:cs="Times New Roman"/>
        </w:rPr>
        <w:t> </w:t>
      </w:r>
      <w:r w:rsidRPr="00D91A7B">
        <w:rPr>
          <w:rFonts w:ascii="Times New Roman" w:eastAsia="Times New Roman" w:hAnsi="Times New Roman" w:cs="Times New Roman"/>
        </w:rPr>
        <w:t>Defendant Fernandez</w:t>
      </w:r>
    </w:p>
    <w:p w14:paraId="570A116C"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testified on his own behalf.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16 years old at the time of the shooting, having arrived in the United States from Honduras two years before.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“jumped in”—meaning, beaten—to M.S. eight or nine months before the Favela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On the day of the shooting, he left home between 4:00 and 5:00 p.m. and walked toward Eight Street and Normandie, where he met other gang members.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They told Fernandez “[t]o shoot somebody.”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 gang member called Little Man told him to shoot a member of the rival Aztlan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was scared because he had never hurt anyone and was pressured by older members into doing something he did not want to do.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scared that they would shoot [him]” if he refused.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also thought his family would be killed if he refused.</w:t>
      </w:r>
      <w:bookmarkStart w:id="7" w:name="footnote_ref_8"/>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"footnote_8"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8</w:t>
      </w:r>
      <w:r w:rsidRPr="00D91A7B">
        <w:rPr>
          <w:rFonts w:ascii="Times New Roman" w:eastAsia="Times New Roman" w:hAnsi="Times New Roman" w:cs="Times New Roman"/>
        </w:rPr>
        <w:fldChar w:fldCharType="end"/>
      </w:r>
      <w:bookmarkEnd w:id="7"/>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When Little Man gave him a gun, Fernandez took it out of fear.</w:t>
      </w:r>
    </w:p>
    <w:p w14:paraId="384B49DB"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put the weapon into his waistband.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accompanied by Corrupt, who carried a .357–caliber handgun.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When they encountered a member of a rival gang, Corrupt asked where “he was from?”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the rival answered, Corrupt told Fernandez to shoot him, but Fernandez said he “could not.”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Instead, he pulled the gun out of his waistband and pointed it to the ground.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Corrupt took it from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After hearing the gunshots, Fernandez ran home.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stayed at home until he was arrested because he was afraid the older M.S. members might kill him or beat him or his family members.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had previously been threatened by M.S. as to the consequences of failing to carry out orders.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did not visit Monroy after the shooting.</w:t>
      </w:r>
    </w:p>
    <w:p w14:paraId="3B5D266F"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admitted his gang moniker was Maniaco or Maniac.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remembered the incident in which he was shot approximately a month and a half before the Favela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did not recall whether it was Favela who shot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prior shooting provided a motive for the gang's ordering him to shoot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Another motive was a stabbing incident between members of Aztlan and M.S. Fernandez knew that he and Corrupt were going to shoot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However, Fernandez testified that Barillas was not the same person as Corrupt the shooter.</w:t>
      </w:r>
    </w:p>
    <w:p w14:paraId="7F983BEC"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DISCUSSION</w:t>
      </w:r>
    </w:p>
    <w:p w14:paraId="0E3FD78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Duress Instruction</w:t>
      </w:r>
    </w:p>
    <w:p w14:paraId="423B32A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As Fernandez requested, the trial court instructed the jury on the affirmative defense of duress as to the conspiracy, attempted murder, and assault counts.</w:t>
      </w:r>
      <w:bookmarkStart w:id="8" w:name="footnote_ref_9"/>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"footnote_9"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9</w:t>
      </w:r>
      <w:r w:rsidRPr="00D91A7B">
        <w:rPr>
          <w:rFonts w:ascii="Times New Roman" w:eastAsia="Times New Roman" w:hAnsi="Times New Roman" w:cs="Times New Roman"/>
        </w:rPr>
        <w:fldChar w:fldCharType="end"/>
      </w:r>
      <w:bookmarkEnd w:id="8"/>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However, the court refused </w:t>
      </w:r>
      <w:r w:rsidRPr="00D91A7B">
        <w:rPr>
          <w:rFonts w:ascii="Times New Roman" w:eastAsia="Times New Roman" w:hAnsi="Times New Roman" w:cs="Times New Roman"/>
        </w:rPr>
        <w:lastRenderedPageBreak/>
        <w:t xml:space="preserve">Fernandez's request to modify Judicial Council of California Criminal Jury Instructions (2009–2010) CALCRIM No. 3402 to allow for a finding of duress if “[Fernandez] would suffer great bodily harm” as a consequence of refusing the gang's demand to commit the crime.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contends the court committed prejudicial error in refusing the requested modification.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we explain, even assuming a duress defense may be premised on fear of great bodily injury, any error in this case was harmless.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Fernandez's affirmative defense was premised on his fear of being shot, which implicated a fear of life endangerment.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was no evidence that he feared being shot in a manner that would not put his life in danger, but only cause great bodily injury.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Accordingly, the modification was not required based on the facts, and there is no reasonable basis to find the modified instruction would have affected the verdicts.</w:t>
      </w:r>
    </w:p>
    <w:p w14:paraId="7411F7E4"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The defense of duress is set forth in section 26, which includes among the classes of persons incapable of committing crimes, persons “who committed the act or made the omission charged under threats or menaces sufficient to show that they had reasonable cause to and did believe their lives would be endangered if they refused.”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26, subd.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Six.) “In other words, the defense of duress negates the intent or capacity to commit the crime charged.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Defendant needs to raise only a reasonable doubt that he acted in the exercise of his free will.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In order to show that his act was not the exercise of his free will, defendant must show that he acted under an immediate threat or menace.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Petznick (2003) 114 Cal.App.4th 663, 676.)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That is, “[d]uress is available as a defense to defendants who commit a crime ‘under threats or menaces sufficient to show that they had reasonable cause to and did believe their lives would be endangered if they refused.’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26, subd.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Six;  People v. Otis (1959) 174 Cal.App.2d 119, 124–125 [ (Otis ) ].)” (People v. Saavedra (2007) 156 Cal.App.4th 561, 567.)</w:t>
      </w:r>
    </w:p>
    <w:p w14:paraId="705FE8E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Trial counsel for Fernandez submitted various proposed jury instructions, including a modified version of CALCRIM No. 3402.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We set forth the proposed modification in italics:  “The defendant is not guilty of conspiracy to murder, attempted murder or assault if he acted under duress.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defendant acted under duress if, because of threat or menace, he believed that his life would be in immediate danger, or that he would suffer great bodily harm, if he refused a demand or request to commit the crimes.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demand or request may have been express or implied․” </w:t>
      </w:r>
      <w:r w:rsidRPr="00D91A7B">
        <w:rPr>
          <w:rFonts w:ascii="Times New Roman" w:eastAsia="Times New Roman" w:hAnsi="Times New Roman" w:cs="Times New Roman"/>
        </w:rPr>
        <w:t> </w:t>
      </w:r>
      <w:r w:rsidRPr="00D91A7B">
        <w:rPr>
          <w:rFonts w:ascii="Times New Roman" w:eastAsia="Times New Roman" w:hAnsi="Times New Roman" w:cs="Times New Roman"/>
        </w:rPr>
        <w:t>In arguing for the modification, Fernandez relied on evidence that Barillas put him in fear of bodily injury and cited Otis, supra, 174 Cal.App.2d at pages 124–125 for the proposition that fear of great bodily injury “can also raise the defense of duress.”</w:t>
      </w:r>
    </w:p>
    <w:p w14:paraId="2A75CDBE"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In discussing the duress instruction, the parties focused on whether it was available for conspiracy to commit murder and whether Fernandez had presented substantial evidence to support the instruction.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Trial counsel argued the defense was available based on Fernandez's testimony that “he was afraid he would be killed․”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Because Fernandez had refused an assignment from “an extremely violent gang,” it was reasonable to believe “these people have the facility to kill [him] right now.”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Although the prosecutor initially argued there was no substantial evidence of an express or implied threat, he eventually agreed the instruction should be given on all the counts other than murder.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was no discussion reported as to the inclusion of language as to fear of great bodily harm, and the jury was instructed pursuant to CALCRIM No. 3402 without the requested modifications.</w:t>
      </w:r>
      <w:bookmarkStart w:id="9" w:name="footnote_ref_10"/>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"footnote_10"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10</w:t>
      </w:r>
      <w:r w:rsidRPr="00D91A7B">
        <w:rPr>
          <w:rFonts w:ascii="Times New Roman" w:eastAsia="Times New Roman" w:hAnsi="Times New Roman" w:cs="Times New Roman"/>
        </w:rPr>
        <w:fldChar w:fldCharType="end"/>
      </w:r>
      <w:bookmarkEnd w:id="9"/>
    </w:p>
    <w:p w14:paraId="0462A8F3"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lastRenderedPageBreak/>
        <w:t xml:space="preserve">In his argument, defense counsel referred to Fernandez's testimony that he did not want to go on the “mission” to shoot somebody, but took the gun and went along with Corrupt out of fear.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When Corrupt made the gang challenge to Favela, Fernandez pulled out the gun, but kept it at his side and told Corrupt that he could not shoot.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Corrupt responded by taking the gun and shooting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This evidence, it was argued, showed Fernandez withdrew from the conspiracy and acted out of duress.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response to the prosecutor's argument that Fernandez could have been “jumped out” of the gang if he really did not want to commit acts of violence, defense counsel asserted that was not a realistic alternative to someone as young and inexperienced as Fernandez.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Instead, Fernandez was worried “about immediate retribution [from the gang members] for not doing an act.”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His failure to shoot Favela was “a serious violation of gang rules,” which meant that he and his family could “get killed” in retribution.</w:t>
      </w:r>
    </w:p>
    <w:p w14:paraId="57F82B39"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In rebuttal, the prosecutor argued it strained credulity to believe that in the nine months of Fernandez's membership in M.S. leading up to the killing, he did not appreciate the acts of violence he would be expected to carry out.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could have left the gang if he truly was opposed to committing such acts.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Doing so would merely require a 13–second beating.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More specifically, with regard to duress, the prosecutor argued there was no evidence that Fernandez received any direct threat of violence from M.S. members.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addition, according to the prosecutor, there was no evidence that Fernandez “believe[d] his life [was] in immediate danger.”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did not testify as to when he thought the fatal retribution would come—and even if he believed he would be subject to such retribution, such a belief would be unreasonable.</w:t>
      </w:r>
    </w:p>
    <w:p w14:paraId="669F055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Our review of the trial shows no evidentiary basis for the first aspect of Fernandez's instructional error claim—that the trial court was legally bound to instruct the defense of duress could be predicated on a fear of great bodily injury separate from a fear of life endangerment.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Moreover, as the Attorney General points out, the statutory authority for the defense does not mention the fear of great bodily injury, but limits its application of those who have “reasonable cause to and did believe their lives would be endangered if they refused.”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26, subd.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Six.) The unmodified version of the CALCRIM pattern instruction given tracked the statutory language. </w:t>
      </w:r>
      <w:r w:rsidRPr="00D91A7B">
        <w:rPr>
          <w:rFonts w:ascii="Times New Roman" w:eastAsia="Times New Roman" w:hAnsi="Times New Roman" w:cs="Times New Roman"/>
        </w:rPr>
        <w:t> </w:t>
      </w:r>
      <w:r w:rsidRPr="00D91A7B">
        <w:rPr>
          <w:rFonts w:ascii="Times New Roman" w:eastAsia="Times New Roman" w:hAnsi="Times New Roman" w:cs="Times New Roman"/>
        </w:rPr>
        <w:t>(CALCRIM No. 3402.)</w:t>
      </w:r>
    </w:p>
    <w:p w14:paraId="7D9CE06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In People v. Subielski (1985) 169 Cal.App.3d 563 (Subielski ), the court rejected an argument analogous to the one on which Fernandez relies—that the affirmative defense of duress was available based on a defendant's “honest but unreasonable belief that he would suffer physical injury.”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(Id. at p. 567.)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Subielski court concluded there was no authority in support of the defense theory because duress “requires a reasonable fear for one's life,” but the defendant “only feared that he might be subjected to a physical beating if he did not participate.” </w:t>
      </w:r>
      <w:r w:rsidRPr="00D91A7B">
        <w:rPr>
          <w:rFonts w:ascii="Times New Roman" w:eastAsia="Times New Roman" w:hAnsi="Times New Roman" w:cs="Times New Roman"/>
        </w:rPr>
        <w:t> </w:t>
      </w:r>
      <w:r w:rsidRPr="00D91A7B">
        <w:rPr>
          <w:rFonts w:ascii="Times New Roman" w:eastAsia="Times New Roman" w:hAnsi="Times New Roman" w:cs="Times New Roman"/>
        </w:rPr>
        <w:t>(Ibid.)</w:t>
      </w:r>
    </w:p>
    <w:p w14:paraId="065A9F2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acknowledges that Subielski makes duress unavailable to defendants who present nothing more than a fear of a physical beating, but asserts he presented evidence that he feared more than a beating—specifically, he feared a retributive shooting.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We find that distinction unpersuasive because the rationale for the Subielski holding was that the affirmative defense of duress must be premised on a reasonable fear that one's life is endangered.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(Subielski, supra, 169 Cal.App.3d at p. 567.)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Therefore, a fear of injury that does not rise to that level will not support the defense, regardless of whether the fear is premised on a physical beating or a shooting.</w:t>
      </w:r>
    </w:p>
    <w:p w14:paraId="5D99324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lastRenderedPageBreak/>
        <w:t xml:space="preserve">In any event, under the facts of this case, it is difficult to imagine how inclusion of the “great bodily injury” alternative would have been justified or helpful.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testified that he initially went on the “mission” to shoot an Aztlan member because the older M.S. members pressured him to do so—if he refused, “they would shoot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also testified that he went along with Corrupt because he “was scared that if [he] ran away [Corrupt] might shoot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the Attorney General points out, a reasonable person would consider the prospect of receiving a gunshot wound something that would place one's life in danger.</w:t>
      </w:r>
    </w:p>
    <w:p w14:paraId="592A98B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counters that because he had previously received a nonfatal gunshot wound, his fear might not have risen to the level of life endangerment.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However, not only did Fernandez fail to testify as to such a limited fear (or make that argument below), but the distinction would have been entirely artificial.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Indeed, in Otis, supra, 174 Cal.App.2d 119, Justice Tobriner explained that such a distinction was psychologically unrealistic, noting that it was not resolved whether fear of “bodily harm,” rather than “fear that the person's life would be endangered,” would suffice to support the defense of duress.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(Id. at p. 123.)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However, “precision in separating [the two types of fear] has become somewhat unrealistic in the light of recent psychological research,” which “at least throws some doubt on the extreme niceties of these legal distinctions between fear of serious bodily harm and fear of life itself.” </w:t>
      </w:r>
      <w:bookmarkStart w:id="10" w:name="footnote_ref_11"/>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"footnote_11"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11</w:t>
      </w:r>
      <w:r w:rsidRPr="00D91A7B">
        <w:rPr>
          <w:rFonts w:ascii="Times New Roman" w:eastAsia="Times New Roman" w:hAnsi="Times New Roman" w:cs="Times New Roman"/>
        </w:rPr>
        <w:fldChar w:fldCharType="end"/>
      </w:r>
      <w:bookmarkEnd w:id="10"/>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(Id. at pp. 124–125.)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That kind of doubt would have been especially acute here, given that Fernandez would have to argue that he feared getting shot in such a manner that his life would not be in danger.</w:t>
      </w:r>
    </w:p>
    <w:p w14:paraId="5231BD42"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Finally, we hold that refusal to modify the pattern was nonprejudicial, whether assessed in terms of People v. Watson (1956) 46 Cal.2d 818, 836, “which asks whether it is reasonably probable appellant would have achieved a more favorable result if the court had not given the instruction” (People v. Lawson (2005) 131 Cal.App.4th 1242, 1249, fn. 7), or the harmless beyond-a-reasonable-doubt standard for federal constitutional error under Chapman v. California (1967) 386 U.S. 18, 24.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trial testimony presented the jury with two alternatives:  either Fernandez took part in the shooting out of fear that Corrupt or other M.S. members would shoot him if he refused, as he testified, or that there was no reasonable basis for fear of anything more than a beating in light of his youth and inexperience, as the prosecution expert testified.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was no evidence that Fernandez actually feared a non-life-threatening retributive shooting for his failure to complete the mission, much less any evidence that he had reason for such a fear.</w:t>
      </w:r>
    </w:p>
    <w:p w14:paraId="593674D3"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Gang Expert Testimony</w:t>
      </w:r>
    </w:p>
    <w:p w14:paraId="192CB96B"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 contends Detective Urena impermissibly testified as a gang expert, over objection, that it was unlikely M.S. would kill Fernandez for failing to shoot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we explain, there was no abuse of discretion in admitting the evidence because the testimony pertained to a subject that was sufficiently beyond common experience so as to justify an expert opinion.</w:t>
      </w:r>
    </w:p>
    <w:p w14:paraId="63D1ED8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The governing law is well established.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 trial court has discretion concerning the admission of evidence, including gang expert testimony.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(See, e.g., People v. Carter (2003) 30 Cal.4th 1166, 1194 (Carter ).)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An expert may offer opinion testimony if the subject is sufficiently beyond common experience so that it would assist the trier of fact. </w:t>
      </w:r>
      <w:r w:rsidRPr="00D91A7B">
        <w:rPr>
          <w:rFonts w:ascii="Times New Roman" w:eastAsia="Times New Roman" w:hAnsi="Times New Roman" w:cs="Times New Roman"/>
        </w:rPr>
        <w:t> </w:t>
      </w:r>
      <w:r w:rsidRPr="00D91A7B">
        <w:rPr>
          <w:rFonts w:ascii="Times New Roman" w:eastAsia="Times New Roman" w:hAnsi="Times New Roman" w:cs="Times New Roman"/>
        </w:rPr>
        <w:t>(Evid.Code,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801, subd. (a);  People v. Ochoa (2001) 26 Cal.4th 398, 438;  People v. Gardeley (1996) 14 Cal.4th 605, 617 (Gardeley );  People v. Killebrew (2002) 103 Cal.App.4th 644, 651 (Killebrew.)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Expert </w:t>
      </w:r>
      <w:r w:rsidRPr="00D91A7B">
        <w:rPr>
          <w:rFonts w:ascii="Times New Roman" w:eastAsia="Times New Roman" w:hAnsi="Times New Roman" w:cs="Times New Roman"/>
        </w:rPr>
        <w:lastRenderedPageBreak/>
        <w:t xml:space="preserve">testimony “concerning the culture, habits, and psychology of gangs” meets this criterion.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Valdez (1997) 58 Cal.App.4th 494, 506 (Valdez );  see Gardeley, supra, at p. 617.)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 properly qualified gang expert may therefore, where appropriate, testify to a wide variety of matters, including whether and how a crime was committed to benefit or promote a gang;  the motivation for a particular crime;  a gang's culture, habits, size, composition, existence, territory, and primary activities;  a defendant's gang membership;  rivalries between gangs;  and gang graffiti, tattoos, hand signs, and attire. </w:t>
      </w:r>
      <w:r w:rsidRPr="00D91A7B">
        <w:rPr>
          <w:rFonts w:ascii="Times New Roman" w:eastAsia="Times New Roman" w:hAnsi="Times New Roman" w:cs="Times New Roman"/>
        </w:rPr>
        <w:t> </w:t>
      </w:r>
      <w:r w:rsidRPr="00D91A7B">
        <w:rPr>
          <w:rFonts w:ascii="Times New Roman" w:eastAsia="Times New Roman" w:hAnsi="Times New Roman" w:cs="Times New Roman"/>
        </w:rPr>
        <w:t>(Killebrew, supra, at pp. 656–657, and authorities cited therein;  see also People v. Ferraez (2003) 112 Cal.App.4th 925, 930 (Ferraez ).)</w:t>
      </w:r>
    </w:p>
    <w:p w14:paraId="07921B9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The relevant lower court proceedings were as follows:  During the cross-examination of Detective Urena, counsel asked what the punishment would be for not completing a gang mission.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detective answered that it would range from being ostracized to being “jumped out” of the gang and receiving a beating — but it could even include the murder of that person.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Counsel followed up by asking whether a gang member's backing out of a “serious situation, like a homicide” would call for consequences worse than merely being jumped out of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expert replied, “they could be, but I think in this case we know what the consequences were and they didn't appear that bad.”</w:t>
      </w:r>
    </w:p>
    <w:p w14:paraId="0B39A855"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On redirect examination, the prosecutor asked whether Fernandez's failure to complete his gang assignment by shooting Favela would be treated in the same way as the situation in which a gang member would be killed for trying to leave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detective stated that it would not.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When the prosecution asked him to explain, the defense objected on the ground that the question called for an improper expert opinion because the subject was outside the witness's “field of expertise” and was one of “common knowledge.” </w:t>
      </w:r>
      <w:bookmarkStart w:id="11" w:name="footnote_ref_12"/>
      <w:r w:rsidRPr="00D91A7B">
        <w:rPr>
          <w:rFonts w:ascii="Times New Roman" w:eastAsia="Times New Roman" w:hAnsi="Times New Roman" w:cs="Times New Roman"/>
        </w:rPr>
        <w:fldChar w:fldCharType="begin"/>
      </w:r>
      <w:r w:rsidRPr="00D91A7B">
        <w:rPr>
          <w:rFonts w:ascii="Times New Roman" w:eastAsia="Times New Roman" w:hAnsi="Times New Roman" w:cs="Times New Roman"/>
        </w:rPr>
        <w:instrText xml:space="preserve"> HYPERLINK "https://caselaw.findlaw.com/ca-court-of-appeal/1587341.html" \l "footnote_12" </w:instrText>
      </w:r>
      <w:r w:rsidRPr="00D91A7B">
        <w:rPr>
          <w:rFonts w:ascii="Times New Roman" w:eastAsia="Times New Roman" w:hAnsi="Times New Roman" w:cs="Times New Roman"/>
        </w:rPr>
        <w:fldChar w:fldCharType="separate"/>
      </w:r>
      <w:r w:rsidRPr="00D91A7B">
        <w:rPr>
          <w:rFonts w:ascii="Times New Roman" w:eastAsia="Times New Roman" w:hAnsi="Times New Roman" w:cs="Times New Roman"/>
          <w:color w:val="005DA2"/>
          <w:sz w:val="18"/>
          <w:szCs w:val="18"/>
          <w:u w:val="single"/>
          <w:vertAlign w:val="superscript"/>
        </w:rPr>
        <w:t>12</w:t>
      </w:r>
      <w:r w:rsidRPr="00D91A7B">
        <w:rPr>
          <w:rFonts w:ascii="Times New Roman" w:eastAsia="Times New Roman" w:hAnsi="Times New Roman" w:cs="Times New Roman"/>
        </w:rPr>
        <w:fldChar w:fldCharType="end"/>
      </w:r>
      <w:bookmarkEnd w:id="11"/>
      <w:r w:rsidRPr="00D91A7B">
        <w:rPr>
          <w:rFonts w:ascii="Times New Roman" w:eastAsia="Times New Roman" w:hAnsi="Times New Roman" w:cs="Times New Roman"/>
        </w:rPr>
        <w: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The objections were overruled.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Detective Urena explained that because Fernandez was relatively young (16 years old), had only been a gang member for nine months, and had not carried out any significant violent acts for the gang, he would not be considered a threat by the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“And so taking his life was probably not the probable consequence of not having carried through with the acts.”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expert believed that death would be a likely consequence if the person leaving the gang was a “hard core” member who had committed many crimes and had damaging information about other gang members.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Over the same objection, Detective Urena testified that a gang member in Fernandez's position would “open himself up to a beating by the gang, but not likely to be killed by the gang.”</w:t>
      </w:r>
    </w:p>
    <w:p w14:paraId="3DFB7FFF"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Contrary to Fernandez's assertion, the challenged evidence falls within the general rule that testimony concerning the culture and habits of criminal street gangs meets the criteria for the admission of expert testimony because such evidence is sufficiently beyond common experience that the</w:t>
      </w:r>
    </w:p>
    <w:p w14:paraId="746A3F89"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Fernandez's reliance on People v. Page (1991) 2 Cal.App.4th 161 (Page ) is therefore misplaced.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Page, the trial court permitted an expert social psychologist to outline “the factors which might influence a person to give a false statement or confession during an interrogation,” but excluded expert testimony as to how those factors applied to the circumstances of the case.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(Id. at p. 189.)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Page court found no abuse of discretion in the trial court's limitation:  “Having been educated concerning those factors, the jurors were as qualified as the professor to determine if those factors played a role in Page's confession, and whether, given those factors, his confession was false.”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(Ibid.) Detective Urena's challenged testimony, in contrast, did not rely </w:t>
      </w:r>
      <w:r w:rsidRPr="00D91A7B">
        <w:rPr>
          <w:rFonts w:ascii="Times New Roman" w:eastAsia="Times New Roman" w:hAnsi="Times New Roman" w:cs="Times New Roman"/>
        </w:rPr>
        <w:lastRenderedPageBreak/>
        <w:t xml:space="preserve">on a scientifically derived set of factors that could be readily applied by a layman.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Rather, he testified as to a matter of specialized knowledge — the manner in which a criminal street gang engaged in self-policing its wayward members.</w:t>
      </w:r>
    </w:p>
    <w:p w14:paraId="2B146C2C"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Nor is Fernandez correct that there was inadequate foundation as to Detective Urena's knowledge as to a gang's approach to self-policing.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detective testified as to his academic study of gangs, as well as his gang-related studies at the police academy.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a police officer, Detective Urena worked with gang officers who instructed him on “the street level operations of gangs.”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a member of a gang unit, the detective “made hundreds of contacts with gang members,” providing him with “the opportunity to question them and find out their method of operation.”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had 15 years of experience as a police officer, including assignments in gang units.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detective was “somewhat” familiar with the M.S. gang.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was sufficient foundation of the detective's specialized knowledge of gang operations to provide adequate foundation for his opinion.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To the extent that knowledge might be deemed wanting, it merely went to the testimony's weight, not its admissibility.</w:t>
      </w:r>
    </w:p>
    <w:p w14:paraId="4986A222"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Separately and independently, we find the admission of Detective Urena's expert testimony was nonprejudicial.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“The erroneous admission of expert testimony only warrants reversal if ‘it is reasonably probable that a result more favorable to the appealing party would have been reached in the absence of the error.’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Watson (1956) 46 Cal.2d 818, 836 (Watson );  see also People v. Venegas (1998) 18 Cal.4th 47, 93 [applying Watson standard to the erroneous admission of expert testimony].)” </w:t>
      </w:r>
      <w:r w:rsidRPr="00D91A7B">
        <w:rPr>
          <w:rFonts w:ascii="Times New Roman" w:eastAsia="Times New Roman" w:hAnsi="Times New Roman" w:cs="Times New Roman"/>
        </w:rPr>
        <w:t> </w:t>
      </w:r>
      <w:r w:rsidRPr="00D91A7B">
        <w:rPr>
          <w:rFonts w:ascii="Times New Roman" w:eastAsia="Times New Roman" w:hAnsi="Times New Roman" w:cs="Times New Roman"/>
        </w:rPr>
        <w:t>(People v. Prieto (2003) 30 Cal.4th 226, 247.)</w:t>
      </w:r>
    </w:p>
    <w:p w14:paraId="4D06DD8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As the Attorney General points out, the prosecution's other gang expert offered similar testimony, without objection.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Officer Marquez testified that if a younger gang member was given a mission to shoot someone and he failed to carry it out, the gang member would suffer some kind of punishment, likely a beating.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Failure to take part in a gang-ordered shooting would be considered very “severe” and could result in a “death warrant.”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On redirect examination, the expert testified that he would not expect that a young, inexperienced gang member would be ordered killed in circumstances like those in which Fernandez failed to shoot Favela.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It would be more likely that he would receive a beating.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As Detective Urena's challenged testimony added little to Officer Marquez's expert testimony, there is no reason to think that the former had a substantial effect on the verdicts.</w:t>
      </w:r>
    </w:p>
    <w:p w14:paraId="1B6C479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Finally, Fernandez's appellate invocation of the due process clause lacks merit.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“[T]he admission of evidence, even if erroneous under state law, results in a due process violation only if it makes the trial fundamentally unfair.”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Partida (2005) 37 Cal.4th 428, 439 (Partida ), citing Estelle v. McGuire (1991) 502 U.S. 62, 70;  Spencer v. Texas (1967) 385 U.S. 554, 563–564;  People v. Falsetta (1999) 21 Cal.4th 903, 913.)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We consider the “very narrow due process argument on appeal” that “the asserted error in admitting the evidence over his Evidence Code section 352 objection had the additional legal consequence of violating due process.”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(Partida, supra, at p. 435.)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was no such evidentiary objection, and we find no due process violation for the same reasons we found no prejudicial error under state law. </w:t>
      </w:r>
      <w:r w:rsidRPr="00D91A7B">
        <w:rPr>
          <w:rFonts w:ascii="Times New Roman" w:eastAsia="Times New Roman" w:hAnsi="Times New Roman" w:cs="Times New Roman"/>
        </w:rPr>
        <w:t> </w:t>
      </w:r>
      <w:r w:rsidRPr="00D91A7B">
        <w:rPr>
          <w:rFonts w:ascii="Times New Roman" w:eastAsia="Times New Roman" w:hAnsi="Times New Roman" w:cs="Times New Roman"/>
        </w:rPr>
        <w:t>(See also People v. Ayala (2000) 23 Cal.4th 225, 253 [“There was no violation of state law, and because defendant's constitutional claims are predicated on his assertion that state law was violated, they too must fail.”].)</w:t>
      </w:r>
    </w:p>
    <w:p w14:paraId="24039917"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lastRenderedPageBreak/>
        <w:t>Defendant Barillas</w:t>
      </w:r>
    </w:p>
    <w:p w14:paraId="3914DF6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Barillas argues there was constitutionally insufficient evidence to support his first degree murder conviction because there was no substantial evidence of premeditation and deliberation.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His contention fails because the evidence supported a reasonable inference that he fatally shot Favela pursuant to a plan to kill an Aztlan member, and that he was motivated by the desire to avenge prior attacks on members of his own gang.</w:t>
      </w:r>
    </w:p>
    <w:p w14:paraId="70CB0FF0"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A willful, deliberate, and premeditated killing “is murder of the first degree.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All other kinds of murders are of the second degree.”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189.)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There are three common categories of evidence bearing on the existence of the premeditation and deliberation in the context of murder—planning activity, motive, and the manner of killing.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Perez (1992) 2 Cal.4th 1117, 1125 (Perez );  People v. Anderson (1968) 70 Cal.2d 15, 25–27 (Anderson ).)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These “factors, while helpful for purposes of review, are not a sine qua non to finding first degree premeditated murder, nor are they exclusive.”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(Perez, supra, at p. 1125.)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In assessing the sufficiency of the evidence as to the element of premeditation and deliberation, “ ‘[t]he true test is not the duration of time as much as it is the extent of the reflection.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Thoughts may follow each other with great rapidity and cold, calculated judgment may be arrived at quickly, but the express requirement for a concurrence of deliberation and premeditation excludes ․ those homicides ․ which are the result of mere unconsidered or rash impulse hastily executed.’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[Citations.]” </w:t>
      </w:r>
      <w:r w:rsidRPr="00D91A7B">
        <w:rPr>
          <w:rFonts w:ascii="Times New Roman" w:eastAsia="Times New Roman" w:hAnsi="Times New Roman" w:cs="Times New Roman"/>
        </w:rPr>
        <w:t> </w:t>
      </w:r>
      <w:r w:rsidRPr="00D91A7B">
        <w:rPr>
          <w:rFonts w:ascii="Times New Roman" w:eastAsia="Times New Roman" w:hAnsi="Times New Roman" w:cs="Times New Roman"/>
        </w:rPr>
        <w:t>(People v. Velasquez (1980) 26 Cal.3d 425, 435 (Velasquez ), vacated and remanded on other grounds in California v. Velasquez (1980) 448 U.S. 903;  People v. Hughes (2002) 27 Cal.4th 287, 370–371.)</w:t>
      </w:r>
    </w:p>
    <w:p w14:paraId="392F59C2"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“In assessing a claim of insufficiency of evidence, the reviewing court's task is to review the whole record in the light most favorable to the judgment to determine whether it discloses substantial evidence—that is, evidence that is reasonable, credible, and of solid value—such that a reasonable trier of fact could find the defendant guilty beyond a reasonable doubt.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Johnson (1980) 26 Cal.3d 557, 578.)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federal standard of review is to the same effect:  Under principles of federal due process, review for sufficiency of evidence entails not the determination whether the reviewing court itself believes the evidence at trial establishes guilt beyond a reasonable doubt, but, instead, whether, after viewing the evidence in the light most favorable to the prosecution, any rational trier of fact could have found the essential elements of the crime beyond a reasonable doubt.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(Jackson v. Virginia (1979) 443 U.S. 307, 317–320.)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standard of review is the same in cases in which the prosecution relies mainly on circumstantial evidence.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Stanley (1995) 10 Cal.4th 764, 792.)”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(People v. Rodriguez (1999) 20 Cal.4th 1, 11.)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“Resolution of conflicts and inconsistencies in the testimony is the exclusive province of the trier of fact.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Moreover, unless the testimony is physically impossible or inherently improbable, testimony of a single witness is sufficient to support a conviction.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 </w:t>
      </w:r>
      <w:r w:rsidRPr="00D91A7B">
        <w:rPr>
          <w:rFonts w:ascii="Times New Roman" w:eastAsia="Times New Roman" w:hAnsi="Times New Roman" w:cs="Times New Roman"/>
        </w:rPr>
        <w:t> </w:t>
      </w:r>
      <w:r w:rsidRPr="00D91A7B">
        <w:rPr>
          <w:rFonts w:ascii="Times New Roman" w:eastAsia="Times New Roman" w:hAnsi="Times New Roman" w:cs="Times New Roman"/>
        </w:rPr>
        <w:t>(People v. Young (2005) 34 Cal.4th 1149, 1181.)</w:t>
      </w:r>
    </w:p>
    <w:p w14:paraId="68932CC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Here, all three of the Anderson factors weigh heavily in favor of the jury's determination.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testimony of Fernandez provided strong evidence of planning.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Just prior to the shooting, M.S. members including Barillas planned a retributive killing of an Azlan member.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Fernandez and Barillas were given handguns and sent out to accomplish that mission.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M.S. members assisted them in locating a victim.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The evidence of motive was overwhelming.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Not only did </w:t>
      </w:r>
      <w:r w:rsidRPr="00D91A7B">
        <w:rPr>
          <w:rFonts w:ascii="Times New Roman" w:eastAsia="Times New Roman" w:hAnsi="Times New Roman" w:cs="Times New Roman"/>
        </w:rPr>
        <w:lastRenderedPageBreak/>
        <w:t xml:space="preserve">Fernandez testify that the killing was motivated as retribution for two prior attacks by Azlan members on M.S. members, but the two eyewitnesses testified that Barillas instigated the shooting by, first, making a gang challenge to the victim and, second, firing on Favela after the victim identified himself as rival gang member.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Finally, the manner of killing—a close-range gunshot to the chest of victim who had just responded to Barillas's gang challenge with a challenge of his own—is inconsistent with killing pursuant to a “ ‘mere unconsidered or rash impulse hastily executed.’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[Citations.]” </w:t>
      </w:r>
      <w:r w:rsidRPr="00D91A7B">
        <w:rPr>
          <w:rFonts w:ascii="Times New Roman" w:eastAsia="Times New Roman" w:hAnsi="Times New Roman" w:cs="Times New Roman"/>
        </w:rPr>
        <w:t> </w:t>
      </w:r>
      <w:r w:rsidRPr="00D91A7B">
        <w:rPr>
          <w:rFonts w:ascii="Times New Roman" w:eastAsia="Times New Roman" w:hAnsi="Times New Roman" w:cs="Times New Roman"/>
        </w:rPr>
        <w:t>(Velasquez, supra, 26 Cal.3d at p. 435.)</w:t>
      </w:r>
    </w:p>
    <w:p w14:paraId="7129F58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 xml:space="preserve">The evidence of premeditation and deliberation against Barillas is stronger than that in People v. Manriquez (2005) 37 Cal.4th 547, 577, in which our Supreme Court found ample evidence to support the inference of preexisting reflection, rather than an unconsidered or rash impulse, where the victim was shot repeatedly several minutes after a verbal altercation with the defendant. </w:t>
      </w:r>
      <w:r w:rsidRPr="00D91A7B">
        <w:rPr>
          <w:rFonts w:ascii="Times New Roman" w:eastAsia="Times New Roman" w:hAnsi="Times New Roman" w:cs="Times New Roman"/>
        </w:rPr>
        <w:t> </w:t>
      </w:r>
      <w:r w:rsidRPr="00D91A7B">
        <w:rPr>
          <w:rFonts w:ascii="Times New Roman" w:eastAsia="Times New Roman" w:hAnsi="Times New Roman" w:cs="Times New Roman"/>
        </w:rPr>
        <w:t>(See also People v. Morris (1988) 46 Cal.3d 1, 22–23 [the defendant's possession of a loaded gun in advance of the killing and rapid getaway are evidence of planning activity];  People v. Koontz (2002) 27 Cal.4th 1041, 1082 [evidence that the defendant fired a shot at a vital area of the victim's body at close range and prevented the witnesses from calling an ambulance represented “a manner of killing indicative of a deliberate intent to kill”].)</w:t>
      </w:r>
    </w:p>
    <w:p w14:paraId="71BD4C6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DISPOSITION</w:t>
      </w:r>
    </w:p>
    <w:p w14:paraId="0629F2B4"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The judgments are affirmed.</w:t>
      </w:r>
    </w:p>
    <w:p w14:paraId="125095AC"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KRIEGLER, J.</w:t>
      </w:r>
    </w:p>
    <w:p w14:paraId="388A9664"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We concur:</w:t>
      </w:r>
    </w:p>
    <w:p w14:paraId="37B848EE"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TURNER, P. J.</w:t>
      </w:r>
    </w:p>
    <w:p w14:paraId="33D29AB1"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ARMSTRONG, J.</w:t>
      </w:r>
    </w:p>
    <w:p w14:paraId="3185560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FOOTNOTES</w:t>
      </w:r>
    </w:p>
    <w:p w14:paraId="63427A06"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FN1.</w:t>
      </w:r>
      <w:r w:rsidRPr="00D91A7B">
        <w:rPr>
          <w:rFonts w:ascii="Times New Roman" w:eastAsia="Times New Roman" w:hAnsi="Times New Roman" w:cs="Times New Roman"/>
        </w:rPr>
        <w:t> </w:t>
      </w:r>
      <w:r w:rsidRPr="00D91A7B">
        <w:rPr>
          <w:rFonts w:ascii="Times New Roman" w:eastAsia="Times New Roman" w:hAnsi="Times New Roman" w:cs="Times New Roman"/>
        </w:rPr>
        <w:t>All further statutory citations are to the Penal Code, unless stated otherwise..  FN1.</w:t>
      </w:r>
      <w:r w:rsidRPr="00D91A7B">
        <w:rPr>
          <w:rFonts w:ascii="Times New Roman" w:eastAsia="Times New Roman" w:hAnsi="Times New Roman" w:cs="Times New Roman"/>
        </w:rPr>
        <w:t> </w:t>
      </w:r>
      <w:r w:rsidRPr="00D91A7B">
        <w:rPr>
          <w:rFonts w:ascii="Times New Roman" w:eastAsia="Times New Roman" w:hAnsi="Times New Roman" w:cs="Times New Roman"/>
        </w:rPr>
        <w:t>All further statutory citations are to the Penal Code, unless stated otherwise.</w:t>
      </w:r>
    </w:p>
    <w:p w14:paraId="08502175"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FN2.</w:t>
      </w:r>
      <w:r w:rsidRPr="00D91A7B">
        <w:rPr>
          <w:rFonts w:ascii="Times New Roman" w:eastAsia="Times New Roman" w:hAnsi="Times New Roman" w:cs="Times New Roman"/>
        </w:rPr>
        <w:t> </w:t>
      </w:r>
      <w:r w:rsidRPr="00D91A7B">
        <w:rPr>
          <w:rFonts w:ascii="Times New Roman" w:eastAsia="Times New Roman" w:hAnsi="Times New Roman" w:cs="Times New Roman"/>
        </w:rPr>
        <w:t>The jury found defendants not guilty of the attempted murder of J.M..  FN2.</w:t>
      </w:r>
      <w:r w:rsidRPr="00D91A7B">
        <w:rPr>
          <w:rFonts w:ascii="Times New Roman" w:eastAsia="Times New Roman" w:hAnsi="Times New Roman" w:cs="Times New Roman"/>
        </w:rPr>
        <w:t> </w:t>
      </w:r>
      <w:r w:rsidRPr="00D91A7B">
        <w:rPr>
          <w:rFonts w:ascii="Times New Roman" w:eastAsia="Times New Roman" w:hAnsi="Times New Roman" w:cs="Times New Roman"/>
        </w:rPr>
        <w:t>The jury found defendants not guilty of the attempted murder of J.M.</w:t>
      </w:r>
    </w:p>
    <w:p w14:paraId="052040DA"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FN3.</w:t>
      </w:r>
      <w:r w:rsidRPr="00D91A7B">
        <w:rPr>
          <w:rFonts w:ascii="Times New Roman" w:eastAsia="Times New Roman" w:hAnsi="Times New Roman" w:cs="Times New Roman"/>
        </w:rPr>
        <w:t> </w:t>
      </w:r>
      <w:r w:rsidRPr="00D91A7B">
        <w:rPr>
          <w:rFonts w:ascii="Times New Roman" w:eastAsia="Times New Roman" w:hAnsi="Times New Roman" w:cs="Times New Roman"/>
        </w:rPr>
        <w:t>“Mara Salvatrucha controls here.”.  FN3.</w:t>
      </w:r>
      <w:r w:rsidRPr="00D91A7B">
        <w:rPr>
          <w:rFonts w:ascii="Times New Roman" w:eastAsia="Times New Roman" w:hAnsi="Times New Roman" w:cs="Times New Roman"/>
        </w:rPr>
        <w:t> </w:t>
      </w:r>
      <w:r w:rsidRPr="00D91A7B">
        <w:rPr>
          <w:rFonts w:ascii="Times New Roman" w:eastAsia="Times New Roman" w:hAnsi="Times New Roman" w:cs="Times New Roman"/>
        </w:rPr>
        <w:t>“Mara Salvatrucha controls here.”</w:t>
      </w:r>
    </w:p>
    <w:p w14:paraId="41649947"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FN4.</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Jennifer identified Barillas at trial.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She was “not sure” if Fernandez was the shorter male, but he “look[ed] like”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Jennifer identified defendants at the preliminary hearing held two years before trial.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She also identified them in photographic lineups..  FN4.</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Jennifer identified Barillas at trial.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She was “not sure” if Fernandez was the shorter male, but he “look[ed] like” him.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Jennifer identified defendants at the preliminary hearing held two years before trial.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She also identified them in photographic lineups.</w:t>
      </w:r>
    </w:p>
    <w:p w14:paraId="4B590778"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lastRenderedPageBreak/>
        <w:t>FN5.</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When Monroy testified at the preliminary hearing, he was in custody, having been charged with rape.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also on probation for felony vandalism..  FN5.</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When Monroy testified at the preliminary hearing, he was in custody, having been charged with rape.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He was also on probation for felony vandalism.</w:t>
      </w:r>
    </w:p>
    <w:p w14:paraId="318055CB"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FN6.</w:t>
      </w:r>
      <w:r w:rsidRPr="00D91A7B">
        <w:rPr>
          <w:rFonts w:ascii="Times New Roman" w:eastAsia="Times New Roman" w:hAnsi="Times New Roman" w:cs="Times New Roman"/>
        </w:rPr>
        <w:t> </w:t>
      </w:r>
      <w:r w:rsidRPr="00D91A7B">
        <w:rPr>
          <w:rFonts w:ascii="Times New Roman" w:eastAsia="Times New Roman" w:hAnsi="Times New Roman" w:cs="Times New Roman"/>
        </w:rPr>
        <w:t>On cross-examination, Monroy testified that he was a member of M.S. in 2008, but he was subsequently “jumped out” of the gang..  FN6.</w:t>
      </w:r>
      <w:r w:rsidRPr="00D91A7B">
        <w:rPr>
          <w:rFonts w:ascii="Times New Roman" w:eastAsia="Times New Roman" w:hAnsi="Times New Roman" w:cs="Times New Roman"/>
        </w:rPr>
        <w:t> </w:t>
      </w:r>
      <w:r w:rsidRPr="00D91A7B">
        <w:rPr>
          <w:rFonts w:ascii="Times New Roman" w:eastAsia="Times New Roman" w:hAnsi="Times New Roman" w:cs="Times New Roman"/>
        </w:rPr>
        <w:t>On cross-examination, Monroy testified that he was a member of M.S. in 2008, but he was subsequently “jumped out” of the gang.</w:t>
      </w:r>
    </w:p>
    <w:p w14:paraId="2368265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FN7.</w:t>
      </w:r>
      <w:r w:rsidRPr="00D91A7B">
        <w:rPr>
          <w:rFonts w:ascii="Times New Roman" w:eastAsia="Times New Roman" w:hAnsi="Times New Roman" w:cs="Times New Roman"/>
        </w:rPr>
        <w:t> </w:t>
      </w:r>
      <w:r w:rsidRPr="00D91A7B">
        <w:rPr>
          <w:rFonts w:ascii="Times New Roman" w:eastAsia="Times New Roman" w:hAnsi="Times New Roman" w:cs="Times New Roman"/>
        </w:rPr>
        <w:t>Miranda v. Arizona (1966) 384 U.S. 436..  FN7.</w:t>
      </w:r>
      <w:r w:rsidRPr="00D91A7B">
        <w:rPr>
          <w:rFonts w:ascii="Times New Roman" w:eastAsia="Times New Roman" w:hAnsi="Times New Roman" w:cs="Times New Roman"/>
        </w:rPr>
        <w:t> </w:t>
      </w:r>
      <w:r w:rsidRPr="00D91A7B">
        <w:rPr>
          <w:rFonts w:ascii="Times New Roman" w:eastAsia="Times New Roman" w:hAnsi="Times New Roman" w:cs="Times New Roman"/>
        </w:rPr>
        <w:t>Miranda v. Arizona (1966) 384 U.S. 436.</w:t>
      </w:r>
    </w:p>
    <w:p w14:paraId="6D947A8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FN8.</w:t>
      </w:r>
      <w:r w:rsidRPr="00D91A7B">
        <w:rPr>
          <w:rFonts w:ascii="Times New Roman" w:eastAsia="Times New Roman" w:hAnsi="Times New Roman" w:cs="Times New Roman"/>
        </w:rPr>
        <w:t> </w:t>
      </w:r>
      <w:r w:rsidRPr="00D91A7B">
        <w:rPr>
          <w:rFonts w:ascii="Times New Roman" w:eastAsia="Times New Roman" w:hAnsi="Times New Roman" w:cs="Times New Roman"/>
        </w:rPr>
        <w:t>In the prosecution's rebuttal case, Detective Urena testified that a gang member could leave the M.S. gang by being “jumped out,” which consists of a 13–second beating—the same as being “jumped in.”.  FN8.</w:t>
      </w:r>
      <w:r w:rsidRPr="00D91A7B">
        <w:rPr>
          <w:rFonts w:ascii="Times New Roman" w:eastAsia="Times New Roman" w:hAnsi="Times New Roman" w:cs="Times New Roman"/>
        </w:rPr>
        <w:t> </w:t>
      </w:r>
      <w:r w:rsidRPr="00D91A7B">
        <w:rPr>
          <w:rFonts w:ascii="Times New Roman" w:eastAsia="Times New Roman" w:hAnsi="Times New Roman" w:cs="Times New Roman"/>
        </w:rPr>
        <w:t>In the prosecution's rebuttal case, Detective Urena testified that a gang member could leave the M.S. gang by being “jumped out,” which consists of a 13–second beating—the same as being “jumped in.”</w:t>
      </w:r>
    </w:p>
    <w:p w14:paraId="742E58F9"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FN9.</w:t>
      </w:r>
      <w:r w:rsidRPr="00D91A7B">
        <w:rPr>
          <w:rFonts w:ascii="Times New Roman" w:eastAsia="Times New Roman" w:hAnsi="Times New Roman" w:cs="Times New Roman"/>
        </w:rPr>
        <w:t> </w:t>
      </w:r>
      <w:r w:rsidRPr="00D91A7B">
        <w:rPr>
          <w:rFonts w:ascii="Times New Roman" w:eastAsia="Times New Roman" w:hAnsi="Times New Roman" w:cs="Times New Roman"/>
        </w:rPr>
        <w:t>Duress is not a defense to crimes punishable by death.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26, subd.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Six;  People v. Anderson (2002) 28 Cal.4th 767, 780 [duress is not a defense to any form of murder].).  FN9.</w:t>
      </w:r>
      <w:r w:rsidRPr="00D91A7B">
        <w:rPr>
          <w:rFonts w:ascii="Times New Roman" w:eastAsia="Times New Roman" w:hAnsi="Times New Roman" w:cs="Times New Roman"/>
        </w:rPr>
        <w:t> </w:t>
      </w:r>
      <w:r w:rsidRPr="00D91A7B">
        <w:rPr>
          <w:rFonts w:ascii="Times New Roman" w:eastAsia="Times New Roman" w:hAnsi="Times New Roman" w:cs="Times New Roman"/>
        </w:rPr>
        <w:t>Duress is not a defense to crimes punishable by death.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26, subd. </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 Six;  People v. Anderson (2002) 28 Cal.4th 767, 780 [duress is not a defense to any form of murder].)</w:t>
      </w:r>
    </w:p>
    <w:p w14:paraId="31183C13"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FN10.</w:t>
      </w:r>
      <w:r w:rsidRPr="00D91A7B">
        <w:rPr>
          <w:rFonts w:ascii="Times New Roman" w:eastAsia="Times New Roman" w:hAnsi="Times New Roman" w:cs="Times New Roman"/>
        </w:rPr>
        <w:t> </w:t>
      </w:r>
      <w:r w:rsidRPr="00D91A7B">
        <w:rPr>
          <w:rFonts w:ascii="Times New Roman" w:eastAsia="Times New Roman" w:hAnsi="Times New Roman" w:cs="Times New Roman"/>
        </w:rPr>
        <w:t>The trial court and counsel apparently had prior unreported conferences in chambers..  FN10.</w:t>
      </w:r>
      <w:r w:rsidRPr="00D91A7B">
        <w:rPr>
          <w:rFonts w:ascii="Times New Roman" w:eastAsia="Times New Roman" w:hAnsi="Times New Roman" w:cs="Times New Roman"/>
        </w:rPr>
        <w:t> </w:t>
      </w:r>
      <w:r w:rsidRPr="00D91A7B">
        <w:rPr>
          <w:rFonts w:ascii="Times New Roman" w:eastAsia="Times New Roman" w:hAnsi="Times New Roman" w:cs="Times New Roman"/>
        </w:rPr>
        <w:t>The trial court and counsel apparently had prior unreported conferences in chambers.</w:t>
      </w:r>
    </w:p>
    <w:p w14:paraId="09C562DF"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FN11.</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The Otis court did not find it necessary to resolve the legal question of whether duress could be premised on a fear of injury because the jury instruction at issue “failed to incorporate the element of immediacy of danger.” </w:t>
      </w:r>
      <w:r w:rsidRPr="00D91A7B">
        <w:rPr>
          <w:rFonts w:ascii="Times New Roman" w:eastAsia="Times New Roman" w:hAnsi="Times New Roman" w:cs="Times New Roman"/>
        </w:rPr>
        <w:t> </w:t>
      </w:r>
      <w:r w:rsidRPr="00D91A7B">
        <w:rPr>
          <w:rFonts w:ascii="Times New Roman" w:eastAsia="Times New Roman" w:hAnsi="Times New Roman" w:cs="Times New Roman"/>
        </w:rPr>
        <w:t>(Otis, supra, 174 Cal.App.2d at p. 126.).  FN11.</w:t>
      </w:r>
      <w:r w:rsidRPr="00D91A7B">
        <w:rPr>
          <w:rFonts w:ascii="Times New Roman" w:eastAsia="Times New Roman" w:hAnsi="Times New Roman" w:cs="Times New Roman"/>
        </w:rPr>
        <w:t> </w:t>
      </w:r>
      <w:r w:rsidRPr="00D91A7B">
        <w:rPr>
          <w:rFonts w:ascii="Times New Roman" w:eastAsia="Times New Roman" w:hAnsi="Times New Roman" w:cs="Times New Roman"/>
        </w:rPr>
        <w:t xml:space="preserve">The Otis court did not find it necessary to resolve the legal question of whether duress could be premised on a fear of injury because the jury instruction at issue “failed to incorporate the element of immediacy of danger.” </w:t>
      </w:r>
      <w:r w:rsidRPr="00D91A7B">
        <w:rPr>
          <w:rFonts w:ascii="Times New Roman" w:eastAsia="Times New Roman" w:hAnsi="Times New Roman" w:cs="Times New Roman"/>
        </w:rPr>
        <w:t> </w:t>
      </w:r>
      <w:r w:rsidRPr="00D91A7B">
        <w:rPr>
          <w:rFonts w:ascii="Times New Roman" w:eastAsia="Times New Roman" w:hAnsi="Times New Roman" w:cs="Times New Roman"/>
        </w:rPr>
        <w:t>(Otis, supra, 174 Cal.App.2d at p. 126.)</w:t>
      </w:r>
    </w:p>
    <w:p w14:paraId="746EC0CD" w14:textId="77777777" w:rsidR="00D91A7B" w:rsidRPr="00D91A7B" w:rsidRDefault="00D91A7B" w:rsidP="00D91A7B">
      <w:pPr>
        <w:spacing w:before="100" w:beforeAutospacing="1" w:after="100" w:afterAutospacing="1"/>
        <w:rPr>
          <w:rFonts w:ascii="Times New Roman" w:eastAsia="Times New Roman" w:hAnsi="Times New Roman" w:cs="Times New Roman"/>
        </w:rPr>
      </w:pPr>
      <w:r w:rsidRPr="00D91A7B">
        <w:rPr>
          <w:rFonts w:ascii="Times New Roman" w:eastAsia="Times New Roman" w:hAnsi="Times New Roman" w:cs="Times New Roman"/>
        </w:rPr>
        <w:t>FN12.</w:t>
      </w:r>
      <w:r w:rsidRPr="00D91A7B">
        <w:rPr>
          <w:rFonts w:ascii="Times New Roman" w:eastAsia="Times New Roman" w:hAnsi="Times New Roman" w:cs="Times New Roman"/>
        </w:rPr>
        <w:t> </w:t>
      </w:r>
      <w:r w:rsidRPr="00D91A7B">
        <w:rPr>
          <w:rFonts w:ascii="Times New Roman" w:eastAsia="Times New Roman" w:hAnsi="Times New Roman" w:cs="Times New Roman"/>
        </w:rPr>
        <w:t>Trial counsel also interposed a hearsay objection, which was also overruled and is not at issue on appeal..  FN12.</w:t>
      </w:r>
      <w:r w:rsidRPr="00D91A7B">
        <w:rPr>
          <w:rFonts w:ascii="Times New Roman" w:eastAsia="Times New Roman" w:hAnsi="Times New Roman" w:cs="Times New Roman"/>
        </w:rPr>
        <w:t> </w:t>
      </w:r>
      <w:r w:rsidRPr="00D91A7B">
        <w:rPr>
          <w:rFonts w:ascii="Times New Roman" w:eastAsia="Times New Roman" w:hAnsi="Times New Roman" w:cs="Times New Roman"/>
        </w:rPr>
        <w:t>Trial counsel also interposed a hearsay objection, which was also overruled and is not at issue on appeal.</w:t>
      </w:r>
    </w:p>
    <w:p w14:paraId="57E776BA" w14:textId="77777777" w:rsidR="00D91A7B" w:rsidRPr="00D91A7B" w:rsidRDefault="00D91A7B" w:rsidP="00D91A7B">
      <w:pPr>
        <w:rPr>
          <w:rFonts w:ascii="Roboto" w:eastAsia="Times New Roman" w:hAnsi="Roboto" w:cs="Times New Roman"/>
          <w:color w:val="666666"/>
        </w:rPr>
      </w:pPr>
    </w:p>
    <w:p w14:paraId="7725F52C" w14:textId="0DA1C59C" w:rsidR="005E21F0" w:rsidRDefault="00D91A7B"/>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03"/>
    <w:rsid w:val="00386DEC"/>
    <w:rsid w:val="00720C03"/>
    <w:rsid w:val="007E188A"/>
    <w:rsid w:val="00D9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3AE0B"/>
  <w15:chartTrackingRefBased/>
  <w15:docId w15:val="{038B2DC1-668E-1F48-B415-EC8394F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A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A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A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A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A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A7B"/>
    <w:rPr>
      <w:rFonts w:ascii="Times New Roman" w:eastAsia="Times New Roman" w:hAnsi="Times New Roman" w:cs="Times New Roman"/>
      <w:b/>
      <w:bCs/>
      <w:sz w:val="27"/>
      <w:szCs w:val="27"/>
    </w:rPr>
  </w:style>
  <w:style w:type="character" w:customStyle="1" w:styleId="fontsizes">
    <w:name w:val="fontsizes"/>
    <w:basedOn w:val="DefaultParagraphFont"/>
    <w:rsid w:val="00D91A7B"/>
  </w:style>
  <w:style w:type="character" w:customStyle="1" w:styleId="ccontrolfont">
    <w:name w:val="ccontrolfont"/>
    <w:basedOn w:val="DefaultParagraphFont"/>
    <w:rsid w:val="00D91A7B"/>
  </w:style>
  <w:style w:type="character" w:customStyle="1" w:styleId="printemail">
    <w:name w:val="printemail"/>
    <w:basedOn w:val="DefaultParagraphFont"/>
    <w:rsid w:val="00D91A7B"/>
  </w:style>
  <w:style w:type="paragraph" w:styleId="NormalWeb">
    <w:name w:val="Normal (Web)"/>
    <w:basedOn w:val="Normal"/>
    <w:uiPriority w:val="99"/>
    <w:semiHidden/>
    <w:unhideWhenUsed/>
    <w:rsid w:val="00D91A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1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9975">
      <w:bodyDiv w:val="1"/>
      <w:marLeft w:val="0"/>
      <w:marRight w:val="0"/>
      <w:marTop w:val="0"/>
      <w:marBottom w:val="0"/>
      <w:divBdr>
        <w:top w:val="none" w:sz="0" w:space="0" w:color="auto"/>
        <w:left w:val="none" w:sz="0" w:space="0" w:color="auto"/>
        <w:bottom w:val="none" w:sz="0" w:space="0" w:color="auto"/>
        <w:right w:val="none" w:sz="0" w:space="0" w:color="auto"/>
      </w:divBdr>
      <w:divsChild>
        <w:div w:id="883254800">
          <w:marLeft w:val="0"/>
          <w:marRight w:val="0"/>
          <w:marTop w:val="0"/>
          <w:marBottom w:val="0"/>
          <w:divBdr>
            <w:top w:val="none" w:sz="0" w:space="0" w:color="auto"/>
            <w:left w:val="none" w:sz="0" w:space="0" w:color="auto"/>
            <w:bottom w:val="none" w:sz="0" w:space="0" w:color="auto"/>
            <w:right w:val="none" w:sz="0" w:space="0" w:color="auto"/>
          </w:divBdr>
          <w:divsChild>
            <w:div w:id="256400880">
              <w:marLeft w:val="0"/>
              <w:marRight w:val="0"/>
              <w:marTop w:val="0"/>
              <w:marBottom w:val="0"/>
              <w:divBdr>
                <w:top w:val="none" w:sz="0" w:space="0" w:color="auto"/>
                <w:left w:val="none" w:sz="0" w:space="0" w:color="auto"/>
                <w:bottom w:val="none" w:sz="0" w:space="0" w:color="auto"/>
                <w:right w:val="none" w:sz="0" w:space="0" w:color="auto"/>
              </w:divBdr>
            </w:div>
            <w:div w:id="259947933">
              <w:marLeft w:val="0"/>
              <w:marRight w:val="0"/>
              <w:marTop w:val="0"/>
              <w:marBottom w:val="0"/>
              <w:divBdr>
                <w:top w:val="none" w:sz="0" w:space="0" w:color="auto"/>
                <w:left w:val="none" w:sz="0" w:space="0" w:color="auto"/>
                <w:bottom w:val="none" w:sz="0" w:space="0" w:color="auto"/>
                <w:right w:val="none" w:sz="0" w:space="0" w:color="auto"/>
              </w:divBdr>
              <w:divsChild>
                <w:div w:id="1968782177">
                  <w:marLeft w:val="0"/>
                  <w:marRight w:val="0"/>
                  <w:marTop w:val="0"/>
                  <w:marBottom w:val="0"/>
                  <w:divBdr>
                    <w:top w:val="none" w:sz="0" w:space="0" w:color="auto"/>
                    <w:left w:val="none" w:sz="0" w:space="0" w:color="auto"/>
                    <w:bottom w:val="none" w:sz="0" w:space="0" w:color="auto"/>
                    <w:right w:val="none" w:sz="0" w:space="0" w:color="auto"/>
                  </w:divBdr>
                </w:div>
              </w:divsChild>
            </w:div>
            <w:div w:id="304046221">
              <w:marLeft w:val="0"/>
              <w:marRight w:val="0"/>
              <w:marTop w:val="0"/>
              <w:marBottom w:val="0"/>
              <w:divBdr>
                <w:top w:val="none" w:sz="0" w:space="0" w:color="auto"/>
                <w:left w:val="none" w:sz="0" w:space="0" w:color="auto"/>
                <w:bottom w:val="none" w:sz="0" w:space="0" w:color="auto"/>
                <w:right w:val="none" w:sz="0" w:space="0" w:color="auto"/>
              </w:divBdr>
              <w:divsChild>
                <w:div w:id="449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8744">
          <w:marLeft w:val="0"/>
          <w:marRight w:val="0"/>
          <w:marTop w:val="0"/>
          <w:marBottom w:val="0"/>
          <w:divBdr>
            <w:top w:val="none" w:sz="0" w:space="0" w:color="auto"/>
            <w:left w:val="none" w:sz="0" w:space="0" w:color="auto"/>
            <w:bottom w:val="none" w:sz="0" w:space="0" w:color="auto"/>
            <w:right w:val="none" w:sz="0" w:space="0" w:color="auto"/>
          </w:divBdr>
          <w:divsChild>
            <w:div w:id="118382409">
              <w:marLeft w:val="0"/>
              <w:marRight w:val="0"/>
              <w:marTop w:val="0"/>
              <w:marBottom w:val="0"/>
              <w:divBdr>
                <w:top w:val="none" w:sz="0" w:space="0" w:color="auto"/>
                <w:left w:val="none" w:sz="0" w:space="0" w:color="auto"/>
                <w:bottom w:val="none" w:sz="0" w:space="0" w:color="auto"/>
                <w:right w:val="none" w:sz="0" w:space="0" w:color="auto"/>
              </w:divBdr>
              <w:divsChild>
                <w:div w:id="55524092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6529</Words>
  <Characters>37221</Characters>
  <Application>Microsoft Office Word</Application>
  <DocSecurity>0</DocSecurity>
  <Lines>310</Lines>
  <Paragraphs>87</Paragraphs>
  <ScaleCrop>false</ScaleCrop>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2021-08-11T01:16:00Z</dcterms:created>
  <dcterms:modified xsi:type="dcterms:W3CDTF">2021-08-11T01:19:00Z</dcterms:modified>
</cp:coreProperties>
</file>