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402D" w14:textId="77777777" w:rsidR="003957BB" w:rsidRPr="003957BB" w:rsidRDefault="003957BB" w:rsidP="003957BB">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3957BB">
        <w:rPr>
          <w:rFonts w:ascii="Times New Roman" w:eastAsia="Times New Roman" w:hAnsi="Times New Roman" w:cs="Times New Roman"/>
          <w:b/>
          <w:bCs/>
          <w:color w:val="4A4A4A"/>
          <w:kern w:val="36"/>
          <w:sz w:val="48"/>
          <w:szCs w:val="48"/>
        </w:rPr>
        <w:t>PEOPLE v. GARCIA</w:t>
      </w:r>
    </w:p>
    <w:p w14:paraId="68AFEAFE" w14:textId="77777777" w:rsidR="003957BB" w:rsidRPr="003957BB" w:rsidRDefault="003957BB" w:rsidP="003957BB">
      <w:pPr>
        <w:spacing w:line="360" w:lineRule="atLeast"/>
        <w:textAlignment w:val="top"/>
        <w:rPr>
          <w:rFonts w:ascii="Merriweather" w:eastAsia="Times New Roman" w:hAnsi="Merriweather" w:cs="Times New Roman"/>
          <w:color w:val="4A4A4A"/>
          <w:sz w:val="22"/>
          <w:szCs w:val="22"/>
        </w:rPr>
      </w:pPr>
      <w:hyperlink r:id="rId5" w:history="1">
        <w:r w:rsidRPr="003957BB">
          <w:rPr>
            <w:rFonts w:ascii="Merriweather" w:eastAsia="Times New Roman" w:hAnsi="Merriweather" w:cs="Times New Roman"/>
            <w:color w:val="00528B"/>
            <w:sz w:val="22"/>
            <w:szCs w:val="22"/>
          </w:rPr>
          <w:t>Email </w:t>
        </w:r>
      </w:hyperlink>
      <w:r w:rsidRPr="003957BB">
        <w:rPr>
          <w:rFonts w:ascii="Merriweather" w:eastAsia="Times New Roman" w:hAnsi="Merriweather" w:cs="Times New Roman"/>
          <w:color w:val="4A4A4A"/>
          <w:sz w:val="22"/>
          <w:szCs w:val="22"/>
        </w:rPr>
        <w:t>| </w:t>
      </w:r>
      <w:hyperlink r:id="rId6" w:history="1">
        <w:r w:rsidRPr="003957BB">
          <w:rPr>
            <w:rFonts w:ascii="Merriweather" w:eastAsia="Times New Roman" w:hAnsi="Merriweather" w:cs="Times New Roman"/>
            <w:color w:val="00528B"/>
            <w:sz w:val="22"/>
            <w:szCs w:val="22"/>
          </w:rPr>
          <w:t>Print </w:t>
        </w:r>
      </w:hyperlink>
      <w:r w:rsidRPr="003957BB">
        <w:rPr>
          <w:rFonts w:ascii="Merriweather" w:eastAsia="Times New Roman" w:hAnsi="Merriweather" w:cs="Times New Roman"/>
          <w:color w:val="4A4A4A"/>
          <w:sz w:val="22"/>
          <w:szCs w:val="22"/>
        </w:rPr>
        <w:t>| </w:t>
      </w:r>
      <w:hyperlink r:id="rId7" w:history="1">
        <w:r w:rsidRPr="003957BB">
          <w:rPr>
            <w:rFonts w:ascii="Merriweather" w:eastAsia="Times New Roman" w:hAnsi="Merriweather" w:cs="Times New Roman"/>
            <w:color w:val="00528B"/>
            <w:sz w:val="22"/>
            <w:szCs w:val="22"/>
          </w:rPr>
          <w:t>Comments (0)</w:t>
        </w:r>
      </w:hyperlink>
    </w:p>
    <w:p w14:paraId="3FD6FAA6" w14:textId="77777777" w:rsidR="003957BB" w:rsidRPr="003957BB" w:rsidRDefault="003957BB" w:rsidP="003957BB">
      <w:pPr>
        <w:spacing w:line="360" w:lineRule="atLeast"/>
        <w:textAlignment w:val="top"/>
        <w:rPr>
          <w:rFonts w:ascii="Merriweather" w:eastAsia="Times New Roman" w:hAnsi="Merriweather" w:cs="Times New Roman"/>
          <w:color w:val="4A4A4A"/>
          <w:sz w:val="22"/>
          <w:szCs w:val="22"/>
        </w:rPr>
      </w:pPr>
      <w:r w:rsidRPr="003957BB">
        <w:rPr>
          <w:rFonts w:ascii="Merriweather" w:eastAsia="Times New Roman" w:hAnsi="Merriweather" w:cs="Times New Roman"/>
          <w:color w:val="4A4A4A"/>
          <w:sz w:val="22"/>
          <w:szCs w:val="22"/>
        </w:rPr>
        <w:t>No. B289784.</w:t>
      </w:r>
    </w:p>
    <w:p w14:paraId="355A8D1E" w14:textId="77777777" w:rsidR="003957BB" w:rsidRPr="003957BB" w:rsidRDefault="00447603" w:rsidP="003957BB">
      <w:pPr>
        <w:spacing w:line="360" w:lineRule="atLeast"/>
        <w:textAlignment w:val="top"/>
        <w:rPr>
          <w:rFonts w:ascii="Merriweather" w:eastAsia="Times New Roman" w:hAnsi="Merriweather" w:cs="Times New Roman"/>
          <w:color w:val="4A4A4A"/>
          <w:sz w:val="22"/>
          <w:szCs w:val="22"/>
        </w:rPr>
      </w:pPr>
      <w:r w:rsidRPr="003957BB">
        <w:rPr>
          <w:rFonts w:ascii="Merriweather" w:eastAsia="Times New Roman" w:hAnsi="Merriweather" w:cs="Times New Roman"/>
          <w:noProof/>
          <w:color w:val="4A4A4A"/>
          <w:sz w:val="22"/>
          <w:szCs w:val="22"/>
        </w:rPr>
        <w:pict w14:anchorId="181D99F5">
          <v:rect id="_x0000_i1027" alt="" style="width:468pt;height:.05pt;mso-width-percent:0;mso-height-percent:0;mso-width-percent:0;mso-height-percent:0" o:hralign="center" o:hrstd="t" o:hr="t" fillcolor="#a0a0a0" stroked="f"/>
        </w:pict>
      </w:r>
    </w:p>
    <w:p w14:paraId="6DE4976E" w14:textId="77777777" w:rsidR="003957BB" w:rsidRPr="003957BB" w:rsidRDefault="003957BB" w:rsidP="003957BB">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3957BB">
          <w:rPr>
            <w:rFonts w:ascii="Oswald" w:eastAsia="Times New Roman" w:hAnsi="Oswald" w:cs="Times New Roman"/>
            <w:b/>
            <w:bCs/>
            <w:color w:val="4A4A4A"/>
            <w:sz w:val="29"/>
            <w:szCs w:val="29"/>
          </w:rPr>
          <w:t>View Case</w:t>
        </w:r>
      </w:hyperlink>
    </w:p>
    <w:p w14:paraId="75924780" w14:textId="77777777" w:rsidR="003957BB" w:rsidRPr="003957BB" w:rsidRDefault="003957BB" w:rsidP="003957BB">
      <w:pPr>
        <w:numPr>
          <w:ilvl w:val="0"/>
          <w:numId w:val="1"/>
        </w:numPr>
        <w:spacing w:before="100" w:beforeAutospacing="1" w:after="100" w:afterAutospacing="1" w:line="360" w:lineRule="atLeast"/>
        <w:textAlignment w:val="top"/>
        <w:rPr>
          <w:rFonts w:ascii="Oswald" w:eastAsia="Times New Roman" w:hAnsi="Oswald" w:cs="Times New Roman"/>
          <w:color w:val="4A4A4A"/>
          <w:sz w:val="29"/>
          <w:szCs w:val="29"/>
        </w:rPr>
      </w:pPr>
      <w:hyperlink r:id="rId9" w:history="1">
        <w:r w:rsidRPr="003957BB">
          <w:rPr>
            <w:rFonts w:ascii="Oswald" w:eastAsia="Times New Roman" w:hAnsi="Oswald" w:cs="Times New Roman"/>
            <w:color w:val="4A4A4A"/>
            <w:sz w:val="29"/>
            <w:szCs w:val="29"/>
          </w:rPr>
          <w:t>Cited Cases</w:t>
        </w:r>
      </w:hyperlink>
    </w:p>
    <w:p w14:paraId="07CDF31D" w14:textId="77777777" w:rsidR="003957BB" w:rsidRPr="003957BB" w:rsidRDefault="003957BB" w:rsidP="003957BB">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3957BB">
        <w:rPr>
          <w:rFonts w:ascii="Merriweather" w:eastAsia="Times New Roman" w:hAnsi="Merriweather" w:cs="Times New Roman"/>
          <w:i/>
          <w:iCs/>
          <w:color w:val="4A4A4A"/>
          <w:sz w:val="22"/>
          <w:szCs w:val="22"/>
        </w:rPr>
        <w:t>THE PEOPLE, Plaintiff and Respondent, v. AGUSTIN GARCIA, JR., Defendant and Appellant.</w:t>
      </w:r>
    </w:p>
    <w:p w14:paraId="02F44B86" w14:textId="77777777" w:rsidR="003957BB" w:rsidRPr="003957BB" w:rsidRDefault="003957BB" w:rsidP="003957BB">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3957BB">
        <w:rPr>
          <w:rFonts w:ascii="Merriweather" w:eastAsia="Times New Roman" w:hAnsi="Merriweather" w:cs="Times New Roman"/>
          <w:color w:val="4A4A4A"/>
          <w:sz w:val="22"/>
          <w:szCs w:val="22"/>
        </w:rPr>
        <w:t>Court of Appeals of California, Second District, Division Two.</w:t>
      </w:r>
    </w:p>
    <w:p w14:paraId="7101F8B1" w14:textId="77777777" w:rsidR="003957BB" w:rsidRPr="003957BB" w:rsidRDefault="003957BB" w:rsidP="003957BB">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3957BB">
        <w:rPr>
          <w:rFonts w:ascii="Merriweather" w:eastAsia="Times New Roman" w:hAnsi="Merriweather" w:cs="Times New Roman"/>
          <w:color w:val="4A4A4A"/>
          <w:sz w:val="22"/>
          <w:szCs w:val="22"/>
        </w:rPr>
        <w:t>Filed August 8, 2019.</w:t>
      </w:r>
    </w:p>
    <w:p w14:paraId="73AE942A" w14:textId="77777777" w:rsidR="003957BB" w:rsidRPr="003957BB" w:rsidRDefault="00447603" w:rsidP="003957BB">
      <w:pPr>
        <w:rPr>
          <w:rFonts w:ascii="Times New Roman" w:eastAsia="Times New Roman" w:hAnsi="Times New Roman" w:cs="Times New Roman"/>
        </w:rPr>
      </w:pPr>
      <w:r w:rsidRPr="003957BB">
        <w:rPr>
          <w:rFonts w:ascii="Times New Roman" w:eastAsia="Times New Roman" w:hAnsi="Times New Roman" w:cs="Times New Roman"/>
          <w:noProof/>
        </w:rPr>
        <w:pict w14:anchorId="42A814E9">
          <v:rect id="_x0000_i1026" alt="" style="width:468pt;height:.05pt;mso-width-percent:0;mso-height-percent:0;mso-width-percent:0;mso-height-percent:0" o:hralign="center" o:hrstd="t" o:hrnoshade="t" o:hr="t" fillcolor="#4a4a4a" stroked="f"/>
        </w:pict>
      </w:r>
    </w:p>
    <w:p w14:paraId="0B76F563" w14:textId="77777777" w:rsidR="003957BB" w:rsidRPr="003957BB" w:rsidRDefault="003957BB" w:rsidP="003957BB">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3957BB">
        <w:rPr>
          <w:rFonts w:ascii="Oswald" w:eastAsia="Times New Roman" w:hAnsi="Oswald" w:cs="Times New Roman"/>
          <w:b/>
          <w:bCs/>
          <w:i/>
          <w:iCs/>
          <w:color w:val="666666"/>
        </w:rPr>
        <w:t>Attorney(s) appearing for the Case</w:t>
      </w:r>
    </w:p>
    <w:p w14:paraId="6DB0A09E" w14:textId="77777777" w:rsidR="003957BB" w:rsidRPr="003957BB" w:rsidRDefault="003957BB" w:rsidP="003957BB">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0" w:history="1">
        <w:r w:rsidRPr="003957BB">
          <w:rPr>
            <w:rFonts w:ascii="Merriweather" w:eastAsia="Times New Roman" w:hAnsi="Merriweather" w:cs="Times New Roman"/>
            <w:i/>
            <w:iCs/>
            <w:color w:val="00528B"/>
            <w:sz w:val="22"/>
            <w:szCs w:val="22"/>
            <w:u w:val="single"/>
          </w:rPr>
          <w:t>Susan K. Shaler </w:t>
        </w:r>
      </w:hyperlink>
      <w:r w:rsidRPr="003957BB">
        <w:rPr>
          <w:rFonts w:ascii="Merriweather" w:eastAsia="Times New Roman" w:hAnsi="Merriweather" w:cs="Times New Roman"/>
          <w:i/>
          <w:iCs/>
          <w:color w:val="666666"/>
          <w:sz w:val="22"/>
          <w:szCs w:val="22"/>
        </w:rPr>
        <w:t>, under appointment by the Court of Appeal, for Defendant and Appellant.</w:t>
      </w:r>
    </w:p>
    <w:p w14:paraId="2C0EBC72" w14:textId="77777777" w:rsidR="003957BB" w:rsidRPr="003957BB" w:rsidRDefault="003957BB" w:rsidP="003957BB">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1" w:history="1">
        <w:r w:rsidRPr="003957BB">
          <w:rPr>
            <w:rFonts w:ascii="Merriweather" w:eastAsia="Times New Roman" w:hAnsi="Merriweather" w:cs="Times New Roman"/>
            <w:i/>
            <w:iCs/>
            <w:color w:val="00528B"/>
            <w:sz w:val="22"/>
            <w:szCs w:val="22"/>
            <w:u w:val="single"/>
          </w:rPr>
          <w:t>Xavier Becerra </w:t>
        </w:r>
      </w:hyperlink>
      <w:r w:rsidRPr="003957BB">
        <w:rPr>
          <w:rFonts w:ascii="Merriweather" w:eastAsia="Times New Roman" w:hAnsi="Merriweather" w:cs="Times New Roman"/>
          <w:i/>
          <w:iCs/>
          <w:color w:val="666666"/>
          <w:sz w:val="22"/>
          <w:szCs w:val="22"/>
        </w:rPr>
        <w:t>, Attorney General, </w:t>
      </w:r>
      <w:hyperlink r:id="rId12" w:history="1">
        <w:r w:rsidRPr="003957BB">
          <w:rPr>
            <w:rFonts w:ascii="Merriweather" w:eastAsia="Times New Roman" w:hAnsi="Merriweather" w:cs="Times New Roman"/>
            <w:i/>
            <w:iCs/>
            <w:color w:val="00528B"/>
            <w:sz w:val="22"/>
            <w:szCs w:val="22"/>
            <w:u w:val="single"/>
          </w:rPr>
          <w:t>Gerald A. Engler </w:t>
        </w:r>
      </w:hyperlink>
      <w:r w:rsidRPr="003957BB">
        <w:rPr>
          <w:rFonts w:ascii="Merriweather" w:eastAsia="Times New Roman" w:hAnsi="Merriweather" w:cs="Times New Roman"/>
          <w:i/>
          <w:iCs/>
          <w:color w:val="666666"/>
          <w:sz w:val="22"/>
          <w:szCs w:val="22"/>
        </w:rPr>
        <w:t>, Chief Assistant Attorney General, </w:t>
      </w:r>
      <w:hyperlink r:id="rId13" w:history="1">
        <w:r w:rsidRPr="003957BB">
          <w:rPr>
            <w:rFonts w:ascii="Merriweather" w:eastAsia="Times New Roman" w:hAnsi="Merriweather" w:cs="Times New Roman"/>
            <w:i/>
            <w:iCs/>
            <w:color w:val="00528B"/>
            <w:sz w:val="22"/>
            <w:szCs w:val="22"/>
            <w:u w:val="single"/>
          </w:rPr>
          <w:t>Lance E. Winters </w:t>
        </w:r>
      </w:hyperlink>
      <w:r w:rsidRPr="003957BB">
        <w:rPr>
          <w:rFonts w:ascii="Merriweather" w:eastAsia="Times New Roman" w:hAnsi="Merriweather" w:cs="Times New Roman"/>
          <w:i/>
          <w:iCs/>
          <w:color w:val="666666"/>
          <w:sz w:val="22"/>
          <w:szCs w:val="22"/>
        </w:rPr>
        <w:t>, Senior Assistant Attorney General, </w:t>
      </w:r>
      <w:hyperlink r:id="rId14" w:history="1">
        <w:r w:rsidRPr="003957BB">
          <w:rPr>
            <w:rFonts w:ascii="Merriweather" w:eastAsia="Times New Roman" w:hAnsi="Merriweather" w:cs="Times New Roman"/>
            <w:i/>
            <w:iCs/>
            <w:color w:val="00528B"/>
            <w:sz w:val="22"/>
            <w:szCs w:val="22"/>
            <w:u w:val="single"/>
          </w:rPr>
          <w:t xml:space="preserve">Susan Sullivan </w:t>
        </w:r>
        <w:proofErr w:type="spellStart"/>
        <w:r w:rsidRPr="003957BB">
          <w:rPr>
            <w:rFonts w:ascii="Merriweather" w:eastAsia="Times New Roman" w:hAnsi="Merriweather" w:cs="Times New Roman"/>
            <w:i/>
            <w:iCs/>
            <w:color w:val="00528B"/>
            <w:sz w:val="22"/>
            <w:szCs w:val="22"/>
            <w:u w:val="single"/>
          </w:rPr>
          <w:t>Pithey</w:t>
        </w:r>
        <w:proofErr w:type="spellEnd"/>
        <w:r w:rsidRPr="003957BB">
          <w:rPr>
            <w:rFonts w:ascii="Merriweather" w:eastAsia="Times New Roman" w:hAnsi="Merriweather" w:cs="Times New Roman"/>
            <w:i/>
            <w:iCs/>
            <w:color w:val="00528B"/>
            <w:sz w:val="22"/>
            <w:szCs w:val="22"/>
            <w:u w:val="single"/>
          </w:rPr>
          <w:t> </w:t>
        </w:r>
      </w:hyperlink>
      <w:r w:rsidRPr="003957BB">
        <w:rPr>
          <w:rFonts w:ascii="Merriweather" w:eastAsia="Times New Roman" w:hAnsi="Merriweather" w:cs="Times New Roman"/>
          <w:i/>
          <w:iCs/>
          <w:color w:val="666666"/>
          <w:sz w:val="22"/>
          <w:szCs w:val="22"/>
        </w:rPr>
        <w:t>, Supervising Deputy Attorney General, and </w:t>
      </w:r>
      <w:hyperlink r:id="rId15" w:history="1">
        <w:r w:rsidRPr="003957BB">
          <w:rPr>
            <w:rFonts w:ascii="Merriweather" w:eastAsia="Times New Roman" w:hAnsi="Merriweather" w:cs="Times New Roman"/>
            <w:i/>
            <w:iCs/>
            <w:color w:val="00528B"/>
            <w:sz w:val="22"/>
            <w:szCs w:val="22"/>
            <w:u w:val="single"/>
          </w:rPr>
          <w:t>Mary Sanchez </w:t>
        </w:r>
      </w:hyperlink>
      <w:r w:rsidRPr="003957BB">
        <w:rPr>
          <w:rFonts w:ascii="Merriweather" w:eastAsia="Times New Roman" w:hAnsi="Merriweather" w:cs="Times New Roman"/>
          <w:i/>
          <w:iCs/>
          <w:color w:val="666666"/>
          <w:sz w:val="22"/>
          <w:szCs w:val="22"/>
        </w:rPr>
        <w:t>, Deputy Attorney General, for Plaintiff and Respondent.</w:t>
      </w:r>
    </w:p>
    <w:p w14:paraId="4C601C62" w14:textId="77777777" w:rsidR="003957BB" w:rsidRPr="003957BB" w:rsidRDefault="00447603" w:rsidP="003957BB">
      <w:pPr>
        <w:spacing w:line="360" w:lineRule="atLeast"/>
        <w:textAlignment w:val="top"/>
        <w:rPr>
          <w:rFonts w:ascii="Merriweather" w:eastAsia="Times New Roman" w:hAnsi="Merriweather" w:cs="Times New Roman"/>
          <w:color w:val="4A4A4A"/>
          <w:sz w:val="22"/>
          <w:szCs w:val="22"/>
        </w:rPr>
      </w:pPr>
      <w:r w:rsidRPr="003957BB">
        <w:rPr>
          <w:rFonts w:ascii="Merriweather" w:eastAsia="Times New Roman" w:hAnsi="Merriweather" w:cs="Times New Roman"/>
          <w:noProof/>
          <w:color w:val="4A4A4A"/>
          <w:sz w:val="22"/>
          <w:szCs w:val="22"/>
        </w:rPr>
        <w:pict w14:anchorId="4536FE5E">
          <v:rect id="_x0000_i1025" alt="" style="width:468pt;height:.05pt;mso-width-percent:0;mso-height-percent:0;mso-width-percent:0;mso-height-percent:0" o:hralign="center" o:hrstd="t" o:hr="t" fillcolor="#a0a0a0" stroked="f"/>
        </w:pict>
      </w:r>
    </w:p>
    <w:p w14:paraId="1E2DB392"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NOT TO BE PUBLISHED IN THE OFFICIAL REPORTS</w:t>
      </w:r>
    </w:p>
    <w:p w14:paraId="5A4EA4F4"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161B1855"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b/>
          <w:bCs/>
          <w:color w:val="1E1E1E"/>
          <w:sz w:val="22"/>
          <w:szCs w:val="22"/>
        </w:rPr>
        <w:t>HOFFSTADT</w:t>
      </w:r>
      <w:r w:rsidRPr="003957BB">
        <w:rPr>
          <w:rFonts w:ascii="Merriweather" w:eastAsia="Times New Roman" w:hAnsi="Merriweather" w:cs="Times New Roman"/>
          <w:color w:val="1E1E1E"/>
          <w:sz w:val="22"/>
          <w:szCs w:val="22"/>
        </w:rPr>
        <w:t>, </w:t>
      </w:r>
      <w:r w:rsidRPr="003957BB">
        <w:rPr>
          <w:rFonts w:ascii="Merriweather" w:eastAsia="Times New Roman" w:hAnsi="Merriweather" w:cs="Times New Roman"/>
          <w:i/>
          <w:iCs/>
          <w:color w:val="1E1E1E"/>
          <w:sz w:val="22"/>
          <w:szCs w:val="22"/>
        </w:rPr>
        <w:t>J.</w:t>
      </w:r>
    </w:p>
    <w:p w14:paraId="288139BD"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lastRenderedPageBreak/>
        <w:t xml:space="preserve">Defendant shot his long-time neighbor in the chest, and a jury convicted him of </w:t>
      </w:r>
      <w:proofErr w:type="gramStart"/>
      <w:r w:rsidRPr="003957BB">
        <w:rPr>
          <w:rFonts w:ascii="Merriweather" w:eastAsia="Times New Roman" w:hAnsi="Merriweather" w:cs="Times New Roman"/>
          <w:color w:val="1E1E1E"/>
          <w:sz w:val="22"/>
          <w:szCs w:val="22"/>
        </w:rPr>
        <w:t>second degree</w:t>
      </w:r>
      <w:proofErr w:type="gramEnd"/>
      <w:r w:rsidRPr="003957BB">
        <w:rPr>
          <w:rFonts w:ascii="Merriweather" w:eastAsia="Times New Roman" w:hAnsi="Merriweather" w:cs="Times New Roman"/>
          <w:color w:val="1E1E1E"/>
          <w:sz w:val="22"/>
          <w:szCs w:val="22"/>
        </w:rPr>
        <w:t xml:space="preserve"> murder. In this appeal, defendant argues that the trial court erred in instructing the jury and in imposing any fines, </w:t>
      </w:r>
      <w:proofErr w:type="gramStart"/>
      <w:r w:rsidRPr="003957BB">
        <w:rPr>
          <w:rFonts w:ascii="Merriweather" w:eastAsia="Times New Roman" w:hAnsi="Merriweather" w:cs="Times New Roman"/>
          <w:color w:val="1E1E1E"/>
          <w:sz w:val="22"/>
          <w:szCs w:val="22"/>
        </w:rPr>
        <w:t>fees</w:t>
      </w:r>
      <w:proofErr w:type="gramEnd"/>
      <w:r w:rsidRPr="003957BB">
        <w:rPr>
          <w:rFonts w:ascii="Merriweather" w:eastAsia="Times New Roman" w:hAnsi="Merriweather" w:cs="Times New Roman"/>
          <w:color w:val="1E1E1E"/>
          <w:sz w:val="22"/>
          <w:szCs w:val="22"/>
        </w:rPr>
        <w:t xml:space="preserve"> or restitution. We independently asked the parties to brief whether defendant is entitled to a remand for the trial court to consider whether to strike the 25-year firearm enhancement imposed in this case. None of defendant's arguments has merit, but defendant is entitled to a remand. Accordingly, we affirm his conviction but remand with instructions to consider whether to strike the firearm enhancement.</w:t>
      </w:r>
    </w:p>
    <w:p w14:paraId="0090DEBB"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FACTS AND PROCEDURAL BACKGROUND</w:t>
      </w:r>
    </w:p>
    <w:p w14:paraId="50BD61F5"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I. Facts</w:t>
      </w:r>
    </w:p>
    <w:p w14:paraId="0C63CC6D"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 xml:space="preserve">Agustin Garcia, Jr. (defendant), Paul Lopez (Lopez) and </w:t>
      </w:r>
      <w:proofErr w:type="spellStart"/>
      <w:r w:rsidRPr="003957BB">
        <w:rPr>
          <w:rFonts w:ascii="Merriweather" w:eastAsia="Times New Roman" w:hAnsi="Merriweather" w:cs="Times New Roman"/>
          <w:color w:val="1E1E1E"/>
          <w:sz w:val="22"/>
          <w:szCs w:val="22"/>
        </w:rPr>
        <w:t>Dayvon</w:t>
      </w:r>
      <w:proofErr w:type="spellEnd"/>
      <w:r w:rsidRPr="003957BB">
        <w:rPr>
          <w:rFonts w:ascii="Merriweather" w:eastAsia="Times New Roman" w:hAnsi="Merriweather" w:cs="Times New Roman"/>
          <w:color w:val="1E1E1E"/>
          <w:sz w:val="22"/>
          <w:szCs w:val="22"/>
        </w:rPr>
        <w:t xml:space="preserve"> Andrew </w:t>
      </w:r>
      <w:proofErr w:type="spellStart"/>
      <w:r w:rsidRPr="003957BB">
        <w:rPr>
          <w:rFonts w:ascii="Merriweather" w:eastAsia="Times New Roman" w:hAnsi="Merriweather" w:cs="Times New Roman"/>
          <w:color w:val="1E1E1E"/>
          <w:sz w:val="22"/>
          <w:szCs w:val="22"/>
        </w:rPr>
        <w:t>Brazile</w:t>
      </w:r>
      <w:proofErr w:type="spellEnd"/>
      <w:r w:rsidRPr="003957BB">
        <w:rPr>
          <w:rFonts w:ascii="Merriweather" w:eastAsia="Times New Roman" w:hAnsi="Merriweather" w:cs="Times New Roman"/>
          <w:color w:val="1E1E1E"/>
          <w:sz w:val="22"/>
          <w:szCs w:val="22"/>
        </w:rPr>
        <w:t xml:space="preserve"> (</w:t>
      </w:r>
      <w:proofErr w:type="spellStart"/>
      <w:r w:rsidRPr="003957BB">
        <w:rPr>
          <w:rFonts w:ascii="Merriweather" w:eastAsia="Times New Roman" w:hAnsi="Merriweather" w:cs="Times New Roman"/>
          <w:color w:val="1E1E1E"/>
          <w:sz w:val="22"/>
          <w:szCs w:val="22"/>
        </w:rPr>
        <w:t>Brazile</w:t>
      </w:r>
      <w:proofErr w:type="spellEnd"/>
      <w:r w:rsidRPr="003957BB">
        <w:rPr>
          <w:rFonts w:ascii="Merriweather" w:eastAsia="Times New Roman" w:hAnsi="Merriweather" w:cs="Times New Roman"/>
          <w:color w:val="1E1E1E"/>
          <w:sz w:val="22"/>
          <w:szCs w:val="22"/>
        </w:rPr>
        <w:t xml:space="preserve">) are all members of the Whittier, California-based Jim Town gang. Between 2004 and 2014, defendant lived with his family in Jim Town gang territory; his </w:t>
      </w:r>
      <w:proofErr w:type="gramStart"/>
      <w:r w:rsidRPr="003957BB">
        <w:rPr>
          <w:rFonts w:ascii="Merriweather" w:eastAsia="Times New Roman" w:hAnsi="Merriweather" w:cs="Times New Roman"/>
          <w:color w:val="1E1E1E"/>
          <w:sz w:val="22"/>
          <w:szCs w:val="22"/>
        </w:rPr>
        <w:t>next door</w:t>
      </w:r>
      <w:proofErr w:type="gramEnd"/>
      <w:r w:rsidRPr="003957BB">
        <w:rPr>
          <w:rFonts w:ascii="Merriweather" w:eastAsia="Times New Roman" w:hAnsi="Merriweather" w:cs="Times New Roman"/>
          <w:color w:val="1E1E1E"/>
          <w:sz w:val="22"/>
          <w:szCs w:val="22"/>
        </w:rPr>
        <w:t xml:space="preserve"> neighbors were Richard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w:t>
      </w:r>
      <w:proofErr w:type="spellStart"/>
      <w:r w:rsidRPr="003957BB">
        <w:rPr>
          <w:rFonts w:ascii="Merriweather" w:eastAsia="Times New Roman" w:hAnsi="Merriweather" w:cs="Times New Roman"/>
          <w:color w:val="1E1E1E"/>
          <w:sz w:val="22"/>
          <w:szCs w:val="22"/>
        </w:rPr>
        <w:t>Mationg's</w:t>
      </w:r>
      <w:proofErr w:type="spellEnd"/>
      <w:r w:rsidRPr="003957BB">
        <w:rPr>
          <w:rFonts w:ascii="Merriweather" w:eastAsia="Times New Roman" w:hAnsi="Merriweather" w:cs="Times New Roman"/>
          <w:color w:val="1E1E1E"/>
          <w:sz w:val="22"/>
          <w:szCs w:val="22"/>
        </w:rPr>
        <w:t xml:space="preserve"> parents, and his two younger brothers. Although defendant and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used to get along, in the years prior to 2014, they argued and occasionally got into fist fights.</w:t>
      </w:r>
    </w:p>
    <w:p w14:paraId="6BA6170F"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 xml:space="preserve">Around 9 p.m. on May 10, 2014,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and his father were sitting on their front porch drinking beer. A car screeched to a halt in front of the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residence, and Lopez, </w:t>
      </w:r>
      <w:proofErr w:type="spellStart"/>
      <w:r w:rsidRPr="003957BB">
        <w:rPr>
          <w:rFonts w:ascii="Merriweather" w:eastAsia="Times New Roman" w:hAnsi="Merriweather" w:cs="Times New Roman"/>
          <w:color w:val="1E1E1E"/>
          <w:sz w:val="22"/>
          <w:szCs w:val="22"/>
        </w:rPr>
        <w:t>Brazile</w:t>
      </w:r>
      <w:proofErr w:type="spellEnd"/>
      <w:r w:rsidRPr="003957BB">
        <w:rPr>
          <w:rFonts w:ascii="Merriweather" w:eastAsia="Times New Roman" w:hAnsi="Merriweather" w:cs="Times New Roman"/>
          <w:color w:val="1E1E1E"/>
          <w:sz w:val="22"/>
          <w:szCs w:val="22"/>
        </w:rPr>
        <w:t xml:space="preserve"> and a third man who later introduced himself as "Whisper from Jim Town" got out of the car and, as they walked across the </w:t>
      </w:r>
      <w:proofErr w:type="spellStart"/>
      <w:r w:rsidRPr="003957BB">
        <w:rPr>
          <w:rFonts w:ascii="Merriweather" w:eastAsia="Times New Roman" w:hAnsi="Merriweather" w:cs="Times New Roman"/>
          <w:color w:val="1E1E1E"/>
          <w:sz w:val="22"/>
          <w:szCs w:val="22"/>
        </w:rPr>
        <w:t>Mationgs</w:t>
      </w:r>
      <w:proofErr w:type="spellEnd"/>
      <w:r w:rsidRPr="003957BB">
        <w:rPr>
          <w:rFonts w:ascii="Merriweather" w:eastAsia="Times New Roman" w:hAnsi="Merriweather" w:cs="Times New Roman"/>
          <w:color w:val="1E1E1E"/>
          <w:sz w:val="22"/>
          <w:szCs w:val="22"/>
        </w:rPr>
        <w:t xml:space="preserve">' front lawn, started yelling at them. The night before, </w:t>
      </w:r>
      <w:proofErr w:type="spellStart"/>
      <w:r w:rsidRPr="003957BB">
        <w:rPr>
          <w:rFonts w:ascii="Merriweather" w:eastAsia="Times New Roman" w:hAnsi="Merriweather" w:cs="Times New Roman"/>
          <w:color w:val="1E1E1E"/>
          <w:sz w:val="22"/>
          <w:szCs w:val="22"/>
        </w:rPr>
        <w:t>Mationg's</w:t>
      </w:r>
      <w:proofErr w:type="spellEnd"/>
      <w:r w:rsidRPr="003957BB">
        <w:rPr>
          <w:rFonts w:ascii="Merriweather" w:eastAsia="Times New Roman" w:hAnsi="Merriweather" w:cs="Times New Roman"/>
          <w:color w:val="1E1E1E"/>
          <w:sz w:val="22"/>
          <w:szCs w:val="22"/>
        </w:rPr>
        <w:t xml:space="preserve"> youngest brother had walked down their street shouting, "Fuck Jim Town."</w:t>
      </w:r>
    </w:p>
    <w:p w14:paraId="5DCF93C2"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 xml:space="preserve">One of the three men put his arm around </w:t>
      </w:r>
      <w:proofErr w:type="spellStart"/>
      <w:r w:rsidRPr="003957BB">
        <w:rPr>
          <w:rFonts w:ascii="Merriweather" w:eastAsia="Times New Roman" w:hAnsi="Merriweather" w:cs="Times New Roman"/>
          <w:color w:val="1E1E1E"/>
          <w:sz w:val="22"/>
          <w:szCs w:val="22"/>
        </w:rPr>
        <w:t>Mationg's</w:t>
      </w:r>
      <w:proofErr w:type="spellEnd"/>
      <w:r w:rsidRPr="003957BB">
        <w:rPr>
          <w:rFonts w:ascii="Merriweather" w:eastAsia="Times New Roman" w:hAnsi="Merriweather" w:cs="Times New Roman"/>
          <w:color w:val="1E1E1E"/>
          <w:sz w:val="22"/>
          <w:szCs w:val="22"/>
        </w:rPr>
        <w:t xml:space="preserve"> shoulders, said, "Let's take a walk," and led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from the front porch out into the middle of the street. The other men followed. Soon thereafter, defendant came out of his house. Although it is not clear whether a fist fight broke out between the three men and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w:t>
      </w:r>
      <w:r w:rsidRPr="003957BB">
        <w:rPr>
          <w:rFonts w:ascii="Merriweather" w:eastAsia="Times New Roman" w:hAnsi="Merriweather" w:cs="Times New Roman"/>
          <w:i/>
          <w:iCs/>
          <w:color w:val="1E1E1E"/>
          <w:sz w:val="22"/>
          <w:szCs w:val="22"/>
        </w:rPr>
        <w:t>before</w:t>
      </w:r>
      <w:r w:rsidRPr="003957BB">
        <w:rPr>
          <w:rFonts w:ascii="Merriweather" w:eastAsia="Times New Roman" w:hAnsi="Merriweather" w:cs="Times New Roman"/>
          <w:color w:val="1E1E1E"/>
          <w:sz w:val="22"/>
          <w:szCs w:val="22"/>
        </w:rPr>
        <w:t xml:space="preserve"> defendant joined, defendant and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traded taunts and punches.</w:t>
      </w:r>
    </w:p>
    <w:p w14:paraId="7F64564F"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 xml:space="preserve">When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started to hold his own against his assailants, defendant backed away, pulled out a gun and aimed it at </w:t>
      </w:r>
      <w:proofErr w:type="spellStart"/>
      <w:r w:rsidRPr="003957BB">
        <w:rPr>
          <w:rFonts w:ascii="Merriweather" w:eastAsia="Times New Roman" w:hAnsi="Merriweather" w:cs="Times New Roman"/>
          <w:color w:val="1E1E1E"/>
          <w:sz w:val="22"/>
          <w:szCs w:val="22"/>
        </w:rPr>
        <w:t>Mationg's</w:t>
      </w:r>
      <w:proofErr w:type="spellEnd"/>
      <w:r w:rsidRPr="003957BB">
        <w:rPr>
          <w:rFonts w:ascii="Merriweather" w:eastAsia="Times New Roman" w:hAnsi="Merriweather" w:cs="Times New Roman"/>
          <w:color w:val="1E1E1E"/>
          <w:sz w:val="22"/>
          <w:szCs w:val="22"/>
        </w:rPr>
        <w:t xml:space="preserve"> chest. With his fist balled up at his sides, </w:t>
      </w:r>
      <w:proofErr w:type="spellStart"/>
      <w:r w:rsidRPr="003957BB">
        <w:rPr>
          <w:rFonts w:ascii="Merriweather" w:eastAsia="Times New Roman" w:hAnsi="Merriweather" w:cs="Times New Roman"/>
          <w:color w:val="1E1E1E"/>
          <w:sz w:val="22"/>
          <w:szCs w:val="22"/>
        </w:rPr>
        <w:lastRenderedPageBreak/>
        <w:t>Mationg</w:t>
      </w:r>
      <w:proofErr w:type="spellEnd"/>
      <w:r w:rsidRPr="003957BB">
        <w:rPr>
          <w:rFonts w:ascii="Merriweather" w:eastAsia="Times New Roman" w:hAnsi="Merriweather" w:cs="Times New Roman"/>
          <w:color w:val="1E1E1E"/>
          <w:sz w:val="22"/>
          <w:szCs w:val="22"/>
        </w:rPr>
        <w:t xml:space="preserve"> told defendant either "You're a </w:t>
      </w:r>
      <w:proofErr w:type="gramStart"/>
      <w:r w:rsidRPr="003957BB">
        <w:rPr>
          <w:rFonts w:ascii="Merriweather" w:eastAsia="Times New Roman" w:hAnsi="Merriweather" w:cs="Times New Roman"/>
          <w:color w:val="1E1E1E"/>
          <w:sz w:val="22"/>
          <w:szCs w:val="22"/>
        </w:rPr>
        <w:t>bitch</w:t>
      </w:r>
      <w:proofErr w:type="gramEnd"/>
      <w:r w:rsidRPr="003957BB">
        <w:rPr>
          <w:rFonts w:ascii="Merriweather" w:eastAsia="Times New Roman" w:hAnsi="Merriweather" w:cs="Times New Roman"/>
          <w:color w:val="1E1E1E"/>
          <w:sz w:val="22"/>
          <w:szCs w:val="22"/>
        </w:rPr>
        <w:t xml:space="preserve"> with that gun" or "You're a bitch." Defendant then pulled the trigger and put a bullet in </w:t>
      </w:r>
      <w:proofErr w:type="spellStart"/>
      <w:r w:rsidRPr="003957BB">
        <w:rPr>
          <w:rFonts w:ascii="Merriweather" w:eastAsia="Times New Roman" w:hAnsi="Merriweather" w:cs="Times New Roman"/>
          <w:color w:val="1E1E1E"/>
          <w:sz w:val="22"/>
          <w:szCs w:val="22"/>
        </w:rPr>
        <w:t>Mationg's</w:t>
      </w:r>
      <w:proofErr w:type="spellEnd"/>
      <w:r w:rsidRPr="003957BB">
        <w:rPr>
          <w:rFonts w:ascii="Merriweather" w:eastAsia="Times New Roman" w:hAnsi="Merriweather" w:cs="Times New Roman"/>
          <w:color w:val="1E1E1E"/>
          <w:sz w:val="22"/>
          <w:szCs w:val="22"/>
        </w:rPr>
        <w:t xml:space="preserve"> chest that killed him.</w:t>
      </w:r>
    </w:p>
    <w:p w14:paraId="475016ED"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Defendant then got into a car with the others and drove off.</w:t>
      </w:r>
    </w:p>
    <w:p w14:paraId="668C503F"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II. Procedural Background</w:t>
      </w:r>
    </w:p>
    <w:p w14:paraId="2FEF6C09"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 xml:space="preserve">The People charged defendant with murder (Pen. Code, § 187, </w:t>
      </w:r>
      <w:proofErr w:type="spellStart"/>
      <w:r w:rsidRPr="003957BB">
        <w:rPr>
          <w:rFonts w:ascii="Merriweather" w:eastAsia="Times New Roman" w:hAnsi="Merriweather" w:cs="Times New Roman"/>
          <w:color w:val="1E1E1E"/>
          <w:sz w:val="22"/>
          <w:szCs w:val="22"/>
        </w:rPr>
        <w:t>subd</w:t>
      </w:r>
      <w:proofErr w:type="spellEnd"/>
      <w:r w:rsidRPr="003957BB">
        <w:rPr>
          <w:rFonts w:ascii="Merriweather" w:eastAsia="Times New Roman" w:hAnsi="Merriweather" w:cs="Times New Roman"/>
          <w:color w:val="1E1E1E"/>
          <w:sz w:val="22"/>
          <w:szCs w:val="22"/>
        </w:rPr>
        <w:t>. (a)).</w:t>
      </w:r>
      <w:hyperlink r:id="rId16" w:anchor="fid1" w:history="1">
        <w:r w:rsidRPr="003957BB">
          <w:rPr>
            <w:rFonts w:ascii="Merriweather" w:eastAsia="Times New Roman" w:hAnsi="Merriweather" w:cs="Times New Roman"/>
            <w:color w:val="00528B"/>
            <w:sz w:val="16"/>
            <w:szCs w:val="16"/>
            <w:vertAlign w:val="superscript"/>
          </w:rPr>
          <w:t>1</w:t>
        </w:r>
      </w:hyperlink>
      <w:r w:rsidRPr="003957BB">
        <w:rPr>
          <w:rFonts w:ascii="Merriweather" w:eastAsia="Times New Roman" w:hAnsi="Merriweather" w:cs="Times New Roman"/>
          <w:color w:val="1E1E1E"/>
          <w:sz w:val="22"/>
          <w:szCs w:val="22"/>
        </w:rPr>
        <w:t xml:space="preserve"> The People further alleged that the murder was "for the benefit of, at the direction of, or in association with a criminal street gang" (§ 186.22, </w:t>
      </w:r>
      <w:proofErr w:type="spellStart"/>
      <w:r w:rsidRPr="003957BB">
        <w:rPr>
          <w:rFonts w:ascii="Merriweather" w:eastAsia="Times New Roman" w:hAnsi="Merriweather" w:cs="Times New Roman"/>
          <w:color w:val="1E1E1E"/>
          <w:sz w:val="22"/>
          <w:szCs w:val="22"/>
        </w:rPr>
        <w:t>subd</w:t>
      </w:r>
      <w:proofErr w:type="spellEnd"/>
      <w:r w:rsidRPr="003957BB">
        <w:rPr>
          <w:rFonts w:ascii="Merriweather" w:eastAsia="Times New Roman" w:hAnsi="Merriweather" w:cs="Times New Roman"/>
          <w:color w:val="1E1E1E"/>
          <w:sz w:val="22"/>
          <w:szCs w:val="22"/>
        </w:rPr>
        <w:t xml:space="preserve">. (b)(1)(C)) and that a principal in the crime had discharged a firearm causing death (§ 12022.53, </w:t>
      </w:r>
      <w:proofErr w:type="spellStart"/>
      <w:r w:rsidRPr="003957BB">
        <w:rPr>
          <w:rFonts w:ascii="Merriweather" w:eastAsia="Times New Roman" w:hAnsi="Merriweather" w:cs="Times New Roman"/>
          <w:color w:val="1E1E1E"/>
          <w:sz w:val="22"/>
          <w:szCs w:val="22"/>
        </w:rPr>
        <w:t>subds</w:t>
      </w:r>
      <w:proofErr w:type="spellEnd"/>
      <w:r w:rsidRPr="003957BB">
        <w:rPr>
          <w:rFonts w:ascii="Merriweather" w:eastAsia="Times New Roman" w:hAnsi="Merriweather" w:cs="Times New Roman"/>
          <w:color w:val="1E1E1E"/>
          <w:sz w:val="22"/>
          <w:szCs w:val="22"/>
        </w:rPr>
        <w:t>. (d) &amp; (e)(1)).</w:t>
      </w:r>
    </w:p>
    <w:p w14:paraId="0F10655F"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The trial court instructed the jury on the crimes of first degree murder, second degree murder and voluntary manslaughter (as a lesser included offense due to imperfect self-defense and due to provocation/heat of passion as well as on perfect self-defense.</w:t>
      </w:r>
      <w:hyperlink r:id="rId17" w:anchor="fid2" w:history="1">
        <w:r w:rsidRPr="003957BB">
          <w:rPr>
            <w:rFonts w:ascii="Merriweather" w:eastAsia="Times New Roman" w:hAnsi="Merriweather" w:cs="Times New Roman"/>
            <w:color w:val="00528B"/>
            <w:sz w:val="16"/>
            <w:szCs w:val="16"/>
            <w:vertAlign w:val="superscript"/>
          </w:rPr>
          <w:t>2</w:t>
        </w:r>
      </w:hyperlink>
    </w:p>
    <w:p w14:paraId="030DA7A9"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 xml:space="preserve">The jury found defendant guilty of second degree </w:t>
      </w:r>
      <w:proofErr w:type="gramStart"/>
      <w:r w:rsidRPr="003957BB">
        <w:rPr>
          <w:rFonts w:ascii="Merriweather" w:eastAsia="Times New Roman" w:hAnsi="Merriweather" w:cs="Times New Roman"/>
          <w:color w:val="1E1E1E"/>
          <w:sz w:val="22"/>
          <w:szCs w:val="22"/>
        </w:rPr>
        <w:t>murder, and</w:t>
      </w:r>
      <w:proofErr w:type="gramEnd"/>
      <w:r w:rsidRPr="003957BB">
        <w:rPr>
          <w:rFonts w:ascii="Merriweather" w:eastAsia="Times New Roman" w:hAnsi="Merriweather" w:cs="Times New Roman"/>
          <w:color w:val="1E1E1E"/>
          <w:sz w:val="22"/>
          <w:szCs w:val="22"/>
        </w:rPr>
        <w:t xml:space="preserve"> found true both the firearm and gang allegations.</w:t>
      </w:r>
    </w:p>
    <w:p w14:paraId="3DE5B013"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 xml:space="preserve">The trial court sentenced defendant to prison for 40 years to life. This sentence was comprised of a base sentence of 15 years to life for the </w:t>
      </w:r>
      <w:proofErr w:type="gramStart"/>
      <w:r w:rsidRPr="003957BB">
        <w:rPr>
          <w:rFonts w:ascii="Merriweather" w:eastAsia="Times New Roman" w:hAnsi="Merriweather" w:cs="Times New Roman"/>
          <w:color w:val="1E1E1E"/>
          <w:sz w:val="22"/>
          <w:szCs w:val="22"/>
        </w:rPr>
        <w:t>second degree</w:t>
      </w:r>
      <w:proofErr w:type="gramEnd"/>
      <w:r w:rsidRPr="003957BB">
        <w:rPr>
          <w:rFonts w:ascii="Merriweather" w:eastAsia="Times New Roman" w:hAnsi="Merriweather" w:cs="Times New Roman"/>
          <w:color w:val="1E1E1E"/>
          <w:sz w:val="22"/>
          <w:szCs w:val="22"/>
        </w:rPr>
        <w:t xml:space="preserve"> murder count plus 25 years to life for the firearm enhancement. The court struck the gang enhancement for purposes of sentencing. The court also imposed direct restitution of $12,563.70 to the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family and $7,000 to the Victim Compensation Board, the latter to "to reimburse payments" previously made to the </w:t>
      </w:r>
      <w:proofErr w:type="spellStart"/>
      <w:r w:rsidRPr="003957BB">
        <w:rPr>
          <w:rFonts w:ascii="Merriweather" w:eastAsia="Times New Roman" w:hAnsi="Merriweather" w:cs="Times New Roman"/>
          <w:color w:val="1E1E1E"/>
          <w:sz w:val="22"/>
          <w:szCs w:val="22"/>
        </w:rPr>
        <w:t>Mationgs</w:t>
      </w:r>
      <w:proofErr w:type="spellEnd"/>
      <w:r w:rsidRPr="003957BB">
        <w:rPr>
          <w:rFonts w:ascii="Merriweather" w:eastAsia="Times New Roman" w:hAnsi="Merriweather" w:cs="Times New Roman"/>
          <w:color w:val="1E1E1E"/>
          <w:sz w:val="22"/>
          <w:szCs w:val="22"/>
        </w:rPr>
        <w:t>. The court also imposed a $300 restitution fine, a $30 criminal conviction assessment and a $40 court operations assessment.</w:t>
      </w:r>
    </w:p>
    <w:p w14:paraId="2FA08CCB"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Defendant filed a timely notice of appeal.</w:t>
      </w:r>
    </w:p>
    <w:p w14:paraId="3D460197"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DISCUSSION</w:t>
      </w:r>
    </w:p>
    <w:p w14:paraId="41B7E063"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I. Instructional Issues</w:t>
      </w:r>
    </w:p>
    <w:p w14:paraId="46280A56"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Defendant argues that the trial court erred in instructing the jury because (1) the court did not instruct the jury on imperfect defense </w:t>
      </w:r>
      <w:r w:rsidRPr="003957BB">
        <w:rPr>
          <w:rFonts w:ascii="Merriweather" w:eastAsia="Times New Roman" w:hAnsi="Merriweather" w:cs="Times New Roman"/>
          <w:i/>
          <w:iCs/>
          <w:color w:val="1E1E1E"/>
          <w:sz w:val="22"/>
          <w:szCs w:val="22"/>
        </w:rPr>
        <w:t>of others,</w:t>
      </w:r>
      <w:r w:rsidRPr="003957BB">
        <w:rPr>
          <w:rFonts w:ascii="Merriweather" w:eastAsia="Times New Roman" w:hAnsi="Merriweather" w:cs="Times New Roman"/>
          <w:color w:val="1E1E1E"/>
          <w:sz w:val="22"/>
          <w:szCs w:val="22"/>
        </w:rPr>
        <w:t xml:space="preserve"> and (2) the court's instructions effectively prevented the jury from convicting him of the lesser included crime of </w:t>
      </w:r>
      <w:r w:rsidRPr="003957BB">
        <w:rPr>
          <w:rFonts w:ascii="Merriweather" w:eastAsia="Times New Roman" w:hAnsi="Merriweather" w:cs="Times New Roman"/>
          <w:color w:val="1E1E1E"/>
          <w:sz w:val="22"/>
          <w:szCs w:val="22"/>
        </w:rPr>
        <w:lastRenderedPageBreak/>
        <w:t>voluntary manslaughter. We independently review claims of instructional error. (</w:t>
      </w:r>
      <w:r w:rsidRPr="003957BB">
        <w:rPr>
          <w:rFonts w:ascii="Merriweather" w:eastAsia="Times New Roman" w:hAnsi="Merriweather" w:cs="Times New Roman"/>
          <w:i/>
          <w:iCs/>
          <w:color w:val="1E1E1E"/>
          <w:sz w:val="22"/>
          <w:szCs w:val="22"/>
        </w:rPr>
        <w:t>People v. Posey</w:t>
      </w:r>
      <w:r w:rsidRPr="003957BB">
        <w:rPr>
          <w:rFonts w:ascii="Merriweather" w:eastAsia="Times New Roman" w:hAnsi="Merriweather" w:cs="Times New Roman"/>
          <w:color w:val="1E1E1E"/>
          <w:sz w:val="22"/>
          <w:szCs w:val="22"/>
        </w:rPr>
        <w:t> (2004) </w:t>
      </w:r>
      <w:hyperlink r:id="rId18" w:history="1">
        <w:r w:rsidRPr="003957BB">
          <w:rPr>
            <w:rFonts w:ascii="Merriweather" w:eastAsia="Times New Roman" w:hAnsi="Merriweather" w:cs="Times New Roman"/>
            <w:color w:val="00528B"/>
            <w:sz w:val="22"/>
            <w:szCs w:val="22"/>
            <w:u w:val="single"/>
          </w:rPr>
          <w:t>32 Cal.4th 193</w:t>
        </w:r>
      </w:hyperlink>
      <w:r w:rsidRPr="003957BB">
        <w:rPr>
          <w:rFonts w:ascii="Merriweather" w:eastAsia="Times New Roman" w:hAnsi="Merriweather" w:cs="Times New Roman"/>
          <w:color w:val="1E1E1E"/>
          <w:sz w:val="22"/>
          <w:szCs w:val="22"/>
        </w:rPr>
        <w:t>, 218.)</w:t>
      </w:r>
    </w:p>
    <w:p w14:paraId="09214CF4"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A. </w:t>
      </w:r>
      <w:r w:rsidRPr="003957BB">
        <w:rPr>
          <w:rFonts w:ascii="Oswald" w:eastAsia="Times New Roman" w:hAnsi="Oswald" w:cs="Times New Roman"/>
          <w:b/>
          <w:bCs/>
          <w:i/>
          <w:iCs/>
          <w:color w:val="4A4A4A"/>
          <w:spacing w:val="24"/>
          <w:sz w:val="29"/>
          <w:szCs w:val="29"/>
        </w:rPr>
        <w:t>Imperfect defense of others</w:t>
      </w:r>
    </w:p>
    <w:p w14:paraId="5D91D999"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If a criminal defendant unlawfully kills another person because he "actual[</w:t>
      </w:r>
      <w:proofErr w:type="spellStart"/>
      <w:r w:rsidRPr="003957BB">
        <w:rPr>
          <w:rFonts w:ascii="Merriweather" w:eastAsia="Times New Roman" w:hAnsi="Merriweather" w:cs="Times New Roman"/>
          <w:color w:val="1E1E1E"/>
          <w:sz w:val="22"/>
          <w:szCs w:val="22"/>
        </w:rPr>
        <w:t>ly</w:t>
      </w:r>
      <w:proofErr w:type="spellEnd"/>
      <w:r w:rsidRPr="003957BB">
        <w:rPr>
          <w:rFonts w:ascii="Merriweather" w:eastAsia="Times New Roman" w:hAnsi="Merriweather" w:cs="Times New Roman"/>
          <w:color w:val="1E1E1E"/>
          <w:sz w:val="22"/>
          <w:szCs w:val="22"/>
        </w:rPr>
        <w:t xml:space="preserve">], but </w:t>
      </w:r>
      <w:proofErr w:type="spellStart"/>
      <w:r w:rsidRPr="003957BB">
        <w:rPr>
          <w:rFonts w:ascii="Merriweather" w:eastAsia="Times New Roman" w:hAnsi="Merriweather" w:cs="Times New Roman"/>
          <w:color w:val="1E1E1E"/>
          <w:sz w:val="22"/>
          <w:szCs w:val="22"/>
        </w:rPr>
        <w:t>unreasonabl</w:t>
      </w:r>
      <w:proofErr w:type="spellEnd"/>
      <w:r w:rsidRPr="003957BB">
        <w:rPr>
          <w:rFonts w:ascii="Merriweather" w:eastAsia="Times New Roman" w:hAnsi="Merriweather" w:cs="Times New Roman"/>
          <w:color w:val="1E1E1E"/>
          <w:sz w:val="22"/>
          <w:szCs w:val="22"/>
        </w:rPr>
        <w:t>[y], belie[</w:t>
      </w:r>
      <w:proofErr w:type="spellStart"/>
      <w:r w:rsidRPr="003957BB">
        <w:rPr>
          <w:rFonts w:ascii="Merriweather" w:eastAsia="Times New Roman" w:hAnsi="Merriweather" w:cs="Times New Roman"/>
          <w:color w:val="1E1E1E"/>
          <w:sz w:val="22"/>
          <w:szCs w:val="22"/>
        </w:rPr>
        <w:t>ved</w:t>
      </w:r>
      <w:proofErr w:type="spellEnd"/>
      <w:r w:rsidRPr="003957BB">
        <w:rPr>
          <w:rFonts w:ascii="Merriweather" w:eastAsia="Times New Roman" w:hAnsi="Merriweather" w:cs="Times New Roman"/>
          <w:color w:val="1E1E1E"/>
          <w:sz w:val="22"/>
          <w:szCs w:val="22"/>
        </w:rPr>
        <w:t>] that he [or someone else] . . . [was in] imminent danger of death or great bodily injury" (so-called imperfect self-defense or imperfect defense of others), he is guilty of voluntary manslaughter rather than murder. (</w:t>
      </w:r>
      <w:r w:rsidRPr="003957BB">
        <w:rPr>
          <w:rFonts w:ascii="Merriweather" w:eastAsia="Times New Roman" w:hAnsi="Merriweather" w:cs="Times New Roman"/>
          <w:i/>
          <w:iCs/>
          <w:color w:val="1E1E1E"/>
          <w:sz w:val="22"/>
          <w:szCs w:val="22"/>
        </w:rPr>
        <w:t>People v. Michaels</w:t>
      </w:r>
      <w:r w:rsidRPr="003957BB">
        <w:rPr>
          <w:rFonts w:ascii="Merriweather" w:eastAsia="Times New Roman" w:hAnsi="Merriweather" w:cs="Times New Roman"/>
          <w:color w:val="1E1E1E"/>
          <w:sz w:val="22"/>
          <w:szCs w:val="22"/>
        </w:rPr>
        <w:t> (2002) </w:t>
      </w:r>
      <w:hyperlink r:id="rId19" w:history="1">
        <w:r w:rsidRPr="003957BB">
          <w:rPr>
            <w:rFonts w:ascii="Merriweather" w:eastAsia="Times New Roman" w:hAnsi="Merriweather" w:cs="Times New Roman"/>
            <w:color w:val="00528B"/>
            <w:sz w:val="22"/>
            <w:szCs w:val="22"/>
            <w:u w:val="single"/>
          </w:rPr>
          <w:t>28 Cal.4th 486</w:t>
        </w:r>
      </w:hyperlink>
      <w:r w:rsidRPr="003957BB">
        <w:rPr>
          <w:rFonts w:ascii="Merriweather" w:eastAsia="Times New Roman" w:hAnsi="Merriweather" w:cs="Times New Roman"/>
          <w:color w:val="1E1E1E"/>
          <w:sz w:val="22"/>
          <w:szCs w:val="22"/>
        </w:rPr>
        <w:t>, 528 (</w:t>
      </w:r>
      <w:r w:rsidRPr="003957BB">
        <w:rPr>
          <w:rFonts w:ascii="Merriweather" w:eastAsia="Times New Roman" w:hAnsi="Merriweather" w:cs="Times New Roman"/>
          <w:i/>
          <w:iCs/>
          <w:color w:val="1E1E1E"/>
          <w:sz w:val="22"/>
          <w:szCs w:val="22"/>
        </w:rPr>
        <w:t>Michaels</w:t>
      </w:r>
      <w:r w:rsidRPr="003957BB">
        <w:rPr>
          <w:rFonts w:ascii="Merriweather" w:eastAsia="Times New Roman" w:hAnsi="Merriweather" w:cs="Times New Roman"/>
          <w:color w:val="1E1E1E"/>
          <w:sz w:val="22"/>
          <w:szCs w:val="22"/>
        </w:rPr>
        <w:t>); </w:t>
      </w:r>
      <w:r w:rsidRPr="003957BB">
        <w:rPr>
          <w:rFonts w:ascii="Merriweather" w:eastAsia="Times New Roman" w:hAnsi="Merriweather" w:cs="Times New Roman"/>
          <w:i/>
          <w:iCs/>
          <w:color w:val="1E1E1E"/>
          <w:sz w:val="22"/>
          <w:szCs w:val="22"/>
        </w:rPr>
        <w:t>People v. Randle</w:t>
      </w:r>
      <w:r w:rsidRPr="003957BB">
        <w:rPr>
          <w:rFonts w:ascii="Merriweather" w:eastAsia="Times New Roman" w:hAnsi="Merriweather" w:cs="Times New Roman"/>
          <w:color w:val="1E1E1E"/>
          <w:sz w:val="22"/>
          <w:szCs w:val="22"/>
        </w:rPr>
        <w:t> (2005) </w:t>
      </w:r>
      <w:hyperlink r:id="rId20" w:history="1">
        <w:r w:rsidRPr="003957BB">
          <w:rPr>
            <w:rFonts w:ascii="Merriweather" w:eastAsia="Times New Roman" w:hAnsi="Merriweather" w:cs="Times New Roman"/>
            <w:color w:val="00528B"/>
            <w:sz w:val="22"/>
            <w:szCs w:val="22"/>
            <w:u w:val="single"/>
          </w:rPr>
          <w:t>35 Cal.4th 987</w:t>
        </w:r>
      </w:hyperlink>
      <w:r w:rsidRPr="003957BB">
        <w:rPr>
          <w:rFonts w:ascii="Merriweather" w:eastAsia="Times New Roman" w:hAnsi="Merriweather" w:cs="Times New Roman"/>
          <w:color w:val="1E1E1E"/>
          <w:sz w:val="22"/>
          <w:szCs w:val="22"/>
        </w:rPr>
        <w:t>, 997.) Because voluntary manslaughter is a lesser included offense to murder (</w:t>
      </w:r>
      <w:r w:rsidRPr="003957BB">
        <w:rPr>
          <w:rFonts w:ascii="Merriweather" w:eastAsia="Times New Roman" w:hAnsi="Merriweather" w:cs="Times New Roman"/>
          <w:i/>
          <w:iCs/>
          <w:color w:val="1E1E1E"/>
          <w:sz w:val="22"/>
          <w:szCs w:val="22"/>
        </w:rPr>
        <w:t>People v. Barton</w:t>
      </w:r>
      <w:r w:rsidRPr="003957BB">
        <w:rPr>
          <w:rFonts w:ascii="Merriweather" w:eastAsia="Times New Roman" w:hAnsi="Merriweather" w:cs="Times New Roman"/>
          <w:color w:val="1E1E1E"/>
          <w:sz w:val="22"/>
          <w:szCs w:val="22"/>
        </w:rPr>
        <w:t> (1995) </w:t>
      </w:r>
      <w:hyperlink r:id="rId21" w:history="1">
        <w:r w:rsidRPr="003957BB">
          <w:rPr>
            <w:rFonts w:ascii="Merriweather" w:eastAsia="Times New Roman" w:hAnsi="Merriweather" w:cs="Times New Roman"/>
            <w:color w:val="00528B"/>
            <w:sz w:val="22"/>
            <w:szCs w:val="22"/>
            <w:u w:val="single"/>
          </w:rPr>
          <w:t>12 Cal.4th 186</w:t>
        </w:r>
      </w:hyperlink>
      <w:r w:rsidRPr="003957BB">
        <w:rPr>
          <w:rFonts w:ascii="Merriweather" w:eastAsia="Times New Roman" w:hAnsi="Merriweather" w:cs="Times New Roman"/>
          <w:color w:val="1E1E1E"/>
          <w:sz w:val="22"/>
          <w:szCs w:val="22"/>
        </w:rPr>
        <w:t>, 200-201), a trial court is required to instruct a jury on imperfect self-defense or imperfect defense of others only if there is "substantial evidence" from which a reasonable jury "`"`could . . . conclude[]'"'" "`that the lesser offense [of voluntary manslaughter], but not the greater [offense of murder], was committed.'" (</w:t>
      </w:r>
      <w:r w:rsidRPr="003957BB">
        <w:rPr>
          <w:rFonts w:ascii="Merriweather" w:eastAsia="Times New Roman" w:hAnsi="Merriweather" w:cs="Times New Roman"/>
          <w:i/>
          <w:iCs/>
          <w:color w:val="1E1E1E"/>
          <w:sz w:val="22"/>
          <w:szCs w:val="22"/>
        </w:rPr>
        <w:t>People v. Cruz</w:t>
      </w:r>
      <w:r w:rsidRPr="003957BB">
        <w:rPr>
          <w:rFonts w:ascii="Merriweather" w:eastAsia="Times New Roman" w:hAnsi="Merriweather" w:cs="Times New Roman"/>
          <w:color w:val="1E1E1E"/>
          <w:sz w:val="22"/>
          <w:szCs w:val="22"/>
        </w:rPr>
        <w:t> (2008) </w:t>
      </w:r>
      <w:hyperlink r:id="rId22" w:history="1">
        <w:r w:rsidRPr="003957BB">
          <w:rPr>
            <w:rFonts w:ascii="Merriweather" w:eastAsia="Times New Roman" w:hAnsi="Merriweather" w:cs="Times New Roman"/>
            <w:color w:val="00528B"/>
            <w:sz w:val="22"/>
            <w:szCs w:val="22"/>
            <w:u w:val="single"/>
          </w:rPr>
          <w:t>44 Cal.4th 636</w:t>
        </w:r>
      </w:hyperlink>
      <w:r w:rsidRPr="003957BB">
        <w:rPr>
          <w:rFonts w:ascii="Merriweather" w:eastAsia="Times New Roman" w:hAnsi="Merriweather" w:cs="Times New Roman"/>
          <w:color w:val="1E1E1E"/>
          <w:sz w:val="22"/>
          <w:szCs w:val="22"/>
        </w:rPr>
        <w:t>, 664; </w:t>
      </w:r>
      <w:r w:rsidRPr="003957BB">
        <w:rPr>
          <w:rFonts w:ascii="Merriweather" w:eastAsia="Times New Roman" w:hAnsi="Merriweather" w:cs="Times New Roman"/>
          <w:i/>
          <w:iCs/>
          <w:color w:val="1E1E1E"/>
          <w:sz w:val="22"/>
          <w:szCs w:val="22"/>
        </w:rPr>
        <w:t>People v. Hughes</w:t>
      </w:r>
      <w:r w:rsidRPr="003957BB">
        <w:rPr>
          <w:rFonts w:ascii="Merriweather" w:eastAsia="Times New Roman" w:hAnsi="Merriweather" w:cs="Times New Roman"/>
          <w:color w:val="1E1E1E"/>
          <w:sz w:val="22"/>
          <w:szCs w:val="22"/>
        </w:rPr>
        <w:t> (2002) </w:t>
      </w:r>
      <w:hyperlink r:id="rId23" w:history="1">
        <w:r w:rsidRPr="003957BB">
          <w:rPr>
            <w:rFonts w:ascii="Merriweather" w:eastAsia="Times New Roman" w:hAnsi="Merriweather" w:cs="Times New Roman"/>
            <w:color w:val="00528B"/>
            <w:sz w:val="22"/>
            <w:szCs w:val="22"/>
            <w:u w:val="single"/>
          </w:rPr>
          <w:t>27 Cal.4th 287</w:t>
        </w:r>
      </w:hyperlink>
      <w:r w:rsidRPr="003957BB">
        <w:rPr>
          <w:rFonts w:ascii="Merriweather" w:eastAsia="Times New Roman" w:hAnsi="Merriweather" w:cs="Times New Roman"/>
          <w:color w:val="1E1E1E"/>
          <w:sz w:val="22"/>
          <w:szCs w:val="22"/>
        </w:rPr>
        <w:t>, 366-367, italics omitted.) "Substantial evidence" is not merely "</w:t>
      </w:r>
      <w:r w:rsidRPr="003957BB">
        <w:rPr>
          <w:rFonts w:ascii="Merriweather" w:eastAsia="Times New Roman" w:hAnsi="Merriweather" w:cs="Times New Roman"/>
          <w:i/>
          <w:iCs/>
          <w:color w:val="1E1E1E"/>
          <w:sz w:val="22"/>
          <w:szCs w:val="22"/>
        </w:rPr>
        <w:t>any</w:t>
      </w:r>
      <w:r w:rsidRPr="003957BB">
        <w:rPr>
          <w:rFonts w:ascii="Merriweather" w:eastAsia="Times New Roman" w:hAnsi="Merriweather" w:cs="Times New Roman"/>
          <w:color w:val="1E1E1E"/>
          <w:sz w:val="22"/>
          <w:szCs w:val="22"/>
        </w:rPr>
        <w:t> evidence . . . no matter how weak." (</w:t>
      </w:r>
      <w:r w:rsidRPr="003957BB">
        <w:rPr>
          <w:rFonts w:ascii="Merriweather" w:eastAsia="Times New Roman" w:hAnsi="Merriweather" w:cs="Times New Roman"/>
          <w:i/>
          <w:iCs/>
          <w:color w:val="1E1E1E"/>
          <w:sz w:val="22"/>
          <w:szCs w:val="22"/>
        </w:rPr>
        <w:t>People v. Flannel</w:t>
      </w:r>
      <w:r w:rsidRPr="003957BB">
        <w:rPr>
          <w:rFonts w:ascii="Merriweather" w:eastAsia="Times New Roman" w:hAnsi="Merriweather" w:cs="Times New Roman"/>
          <w:color w:val="1E1E1E"/>
          <w:sz w:val="22"/>
          <w:szCs w:val="22"/>
        </w:rPr>
        <w:t> (1979) </w:t>
      </w:r>
      <w:hyperlink r:id="rId24" w:history="1">
        <w:r w:rsidRPr="003957BB">
          <w:rPr>
            <w:rFonts w:ascii="Merriweather" w:eastAsia="Times New Roman" w:hAnsi="Merriweather" w:cs="Times New Roman"/>
            <w:color w:val="00528B"/>
            <w:sz w:val="22"/>
            <w:szCs w:val="22"/>
            <w:u w:val="single"/>
          </w:rPr>
          <w:t>25 Cal.3d 668</w:t>
        </w:r>
      </w:hyperlink>
      <w:r w:rsidRPr="003957BB">
        <w:rPr>
          <w:rFonts w:ascii="Merriweather" w:eastAsia="Times New Roman" w:hAnsi="Merriweather" w:cs="Times New Roman"/>
          <w:color w:val="1E1E1E"/>
          <w:sz w:val="22"/>
          <w:szCs w:val="22"/>
        </w:rPr>
        <w:t>, 684, fn. 12.) In assessing whether substantial evidence exists to support a lesser included offense instruction, we construe the record in the light most favorable to the defendant. (</w:t>
      </w:r>
      <w:r w:rsidRPr="003957BB">
        <w:rPr>
          <w:rFonts w:ascii="Merriweather" w:eastAsia="Times New Roman" w:hAnsi="Merriweather" w:cs="Times New Roman"/>
          <w:i/>
          <w:iCs/>
          <w:color w:val="1E1E1E"/>
          <w:sz w:val="22"/>
          <w:szCs w:val="22"/>
        </w:rPr>
        <w:t>People v. Millbrook</w:t>
      </w:r>
      <w:r w:rsidRPr="003957BB">
        <w:rPr>
          <w:rFonts w:ascii="Merriweather" w:eastAsia="Times New Roman" w:hAnsi="Merriweather" w:cs="Times New Roman"/>
          <w:color w:val="1E1E1E"/>
          <w:sz w:val="22"/>
          <w:szCs w:val="22"/>
        </w:rPr>
        <w:t> (2014) </w:t>
      </w:r>
      <w:hyperlink r:id="rId25" w:history="1">
        <w:r w:rsidRPr="003957BB">
          <w:rPr>
            <w:rFonts w:ascii="Merriweather" w:eastAsia="Times New Roman" w:hAnsi="Merriweather" w:cs="Times New Roman"/>
            <w:color w:val="00528B"/>
            <w:sz w:val="22"/>
            <w:szCs w:val="22"/>
            <w:u w:val="single"/>
          </w:rPr>
          <w:t>222 Cal.App.4th 1122</w:t>
        </w:r>
      </w:hyperlink>
      <w:r w:rsidRPr="003957BB">
        <w:rPr>
          <w:rFonts w:ascii="Merriweather" w:eastAsia="Times New Roman" w:hAnsi="Merriweather" w:cs="Times New Roman"/>
          <w:color w:val="1E1E1E"/>
          <w:sz w:val="22"/>
          <w:szCs w:val="22"/>
        </w:rPr>
        <w:t>, 1137.)</w:t>
      </w:r>
    </w:p>
    <w:p w14:paraId="3F559BD2"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 xml:space="preserve">The trial court did not err in declining to instruct the jury on voluntary manslaughter based on the imperfect defense of others because there was not substantial evidence from which a reasonable jury could conclude that defendant, in shooting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w:t>
      </w:r>
      <w:proofErr w:type="gramStart"/>
      <w:r w:rsidRPr="003957BB">
        <w:rPr>
          <w:rFonts w:ascii="Merriweather" w:eastAsia="Times New Roman" w:hAnsi="Merriweather" w:cs="Times New Roman"/>
          <w:color w:val="1E1E1E"/>
          <w:sz w:val="22"/>
          <w:szCs w:val="22"/>
        </w:rPr>
        <w:t>actually but</w:t>
      </w:r>
      <w:proofErr w:type="gramEnd"/>
      <w:r w:rsidRPr="003957BB">
        <w:rPr>
          <w:rFonts w:ascii="Merriweather" w:eastAsia="Times New Roman" w:hAnsi="Merriweather" w:cs="Times New Roman"/>
          <w:color w:val="1E1E1E"/>
          <w:sz w:val="22"/>
          <w:szCs w:val="22"/>
        </w:rPr>
        <w:t xml:space="preserve"> unreasonably believed that anyone else was in "imminent danger of death or great bodily injury." (</w:t>
      </w:r>
      <w:r w:rsidRPr="003957BB">
        <w:rPr>
          <w:rFonts w:ascii="Merriweather" w:eastAsia="Times New Roman" w:hAnsi="Merriweather" w:cs="Times New Roman"/>
          <w:i/>
          <w:iCs/>
          <w:color w:val="1E1E1E"/>
          <w:sz w:val="22"/>
          <w:szCs w:val="22"/>
        </w:rPr>
        <w:t>People v. Nguyen</w:t>
      </w:r>
      <w:r w:rsidRPr="003957BB">
        <w:rPr>
          <w:rFonts w:ascii="Merriweather" w:eastAsia="Times New Roman" w:hAnsi="Merriweather" w:cs="Times New Roman"/>
          <w:color w:val="1E1E1E"/>
          <w:sz w:val="22"/>
          <w:szCs w:val="22"/>
        </w:rPr>
        <w:t> (2015) </w:t>
      </w:r>
      <w:hyperlink r:id="rId26" w:history="1">
        <w:r w:rsidRPr="003957BB">
          <w:rPr>
            <w:rFonts w:ascii="Merriweather" w:eastAsia="Times New Roman" w:hAnsi="Merriweather" w:cs="Times New Roman"/>
            <w:color w:val="00528B"/>
            <w:sz w:val="22"/>
            <w:szCs w:val="22"/>
            <w:u w:val="single"/>
          </w:rPr>
          <w:t>61 Cal.4th 1015</w:t>
        </w:r>
      </w:hyperlink>
      <w:r w:rsidRPr="003957BB">
        <w:rPr>
          <w:rFonts w:ascii="Merriweather" w:eastAsia="Times New Roman" w:hAnsi="Merriweather" w:cs="Times New Roman"/>
          <w:color w:val="1E1E1E"/>
          <w:sz w:val="22"/>
          <w:szCs w:val="22"/>
        </w:rPr>
        <w:t>, 1066.) At the time defendant joined the fight, there was either </w:t>
      </w:r>
      <w:r w:rsidRPr="003957BB">
        <w:rPr>
          <w:rFonts w:ascii="Merriweather" w:eastAsia="Times New Roman" w:hAnsi="Merriweather" w:cs="Times New Roman"/>
          <w:i/>
          <w:iCs/>
          <w:color w:val="1E1E1E"/>
          <w:sz w:val="22"/>
          <w:szCs w:val="22"/>
        </w:rPr>
        <w:t>no</w:t>
      </w:r>
      <w:r w:rsidRPr="003957BB">
        <w:rPr>
          <w:rFonts w:ascii="Merriweather" w:eastAsia="Times New Roman" w:hAnsi="Merriweather" w:cs="Times New Roman"/>
          <w:color w:val="1E1E1E"/>
          <w:sz w:val="22"/>
          <w:szCs w:val="22"/>
        </w:rPr>
        <w:t xml:space="preserve"> ongoing fist fight or a fist fight in which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was outnumbered by three of defendant's fellow gang members; in either instance, the gang members were not in "imminent danger of death or great bodily injury." Defendant himself then joined or started a fist fight with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and, after a brief melee, backed away, pulled out a gun, and shot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in the chest. These facts all but defeat the inference that defendant harbored any belief in the necessity to intervene to protect anyone else from imminent danger of death or great bodily injury. And defendant's decision not to testify means there was no direct evidence of such a belief.</w:t>
      </w:r>
    </w:p>
    <w:p w14:paraId="5247ADF1"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lastRenderedPageBreak/>
        <w:t>Defendant makes what amount to two arguments to the contrary.</w:t>
      </w:r>
    </w:p>
    <w:p w14:paraId="22E8CA8C"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 xml:space="preserve">First, he asserts that there was substantial evidence that he </w:t>
      </w:r>
      <w:proofErr w:type="gramStart"/>
      <w:r w:rsidRPr="003957BB">
        <w:rPr>
          <w:rFonts w:ascii="Merriweather" w:eastAsia="Times New Roman" w:hAnsi="Merriweather" w:cs="Times New Roman"/>
          <w:color w:val="1E1E1E"/>
          <w:sz w:val="22"/>
          <w:szCs w:val="22"/>
        </w:rPr>
        <w:t>actually believed</w:t>
      </w:r>
      <w:proofErr w:type="gramEnd"/>
      <w:r w:rsidRPr="003957BB">
        <w:rPr>
          <w:rFonts w:ascii="Merriweather" w:eastAsia="Times New Roman" w:hAnsi="Merriweather" w:cs="Times New Roman"/>
          <w:color w:val="1E1E1E"/>
          <w:sz w:val="22"/>
          <w:szCs w:val="22"/>
        </w:rPr>
        <w:t xml:space="preserve"> that his fellow gang members were in imminent danger of death or great bodily injury because police recovered an empty knife sheath in </w:t>
      </w:r>
      <w:proofErr w:type="spellStart"/>
      <w:r w:rsidRPr="003957BB">
        <w:rPr>
          <w:rFonts w:ascii="Merriweather" w:eastAsia="Times New Roman" w:hAnsi="Merriweather" w:cs="Times New Roman"/>
          <w:color w:val="1E1E1E"/>
          <w:sz w:val="22"/>
          <w:szCs w:val="22"/>
        </w:rPr>
        <w:t>Mationg's</w:t>
      </w:r>
      <w:proofErr w:type="spellEnd"/>
      <w:r w:rsidRPr="003957BB">
        <w:rPr>
          <w:rFonts w:ascii="Merriweather" w:eastAsia="Times New Roman" w:hAnsi="Merriweather" w:cs="Times New Roman"/>
          <w:color w:val="1E1E1E"/>
          <w:sz w:val="22"/>
          <w:szCs w:val="22"/>
        </w:rPr>
        <w:t xml:space="preserve"> front yard and found the corresponding knife beneath a staircase inside of </w:t>
      </w:r>
      <w:proofErr w:type="spellStart"/>
      <w:r w:rsidRPr="003957BB">
        <w:rPr>
          <w:rFonts w:ascii="Merriweather" w:eastAsia="Times New Roman" w:hAnsi="Merriweather" w:cs="Times New Roman"/>
          <w:color w:val="1E1E1E"/>
          <w:sz w:val="22"/>
          <w:szCs w:val="22"/>
        </w:rPr>
        <w:t>Mationg's</w:t>
      </w:r>
      <w:proofErr w:type="spellEnd"/>
      <w:r w:rsidRPr="003957BB">
        <w:rPr>
          <w:rFonts w:ascii="Merriweather" w:eastAsia="Times New Roman" w:hAnsi="Merriweather" w:cs="Times New Roman"/>
          <w:color w:val="1E1E1E"/>
          <w:sz w:val="22"/>
          <w:szCs w:val="22"/>
        </w:rPr>
        <w:t xml:space="preserve"> house. However, it is undisputed that no one saw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with a knife before or during the fist fight. To the contrary, moments before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was shot, he was balling his fists at his side—something he could only do if he was unarmed. It is also undisputed that neither defendant nor any of his fellow gang members ever </w:t>
      </w:r>
      <w:r w:rsidRPr="003957BB">
        <w:rPr>
          <w:rFonts w:ascii="Merriweather" w:eastAsia="Times New Roman" w:hAnsi="Merriweather" w:cs="Times New Roman"/>
          <w:i/>
          <w:iCs/>
          <w:color w:val="1E1E1E"/>
          <w:sz w:val="22"/>
          <w:szCs w:val="22"/>
        </w:rPr>
        <w:t>saw</w:t>
      </w:r>
      <w:r w:rsidRPr="003957BB">
        <w:rPr>
          <w:rFonts w:ascii="Merriweather" w:eastAsia="Times New Roman" w:hAnsi="Merriweather" w:cs="Times New Roman"/>
          <w:color w:val="1E1E1E"/>
          <w:sz w:val="22"/>
          <w:szCs w:val="22"/>
        </w:rPr>
        <w:t> the knife or its sheath at any point that evening. The involvement of a knife in the melee is purely speculative, and "[s]peculation is not substantial evidence" (</w:t>
      </w:r>
      <w:r w:rsidRPr="003957BB">
        <w:rPr>
          <w:rFonts w:ascii="Merriweather" w:eastAsia="Times New Roman" w:hAnsi="Merriweather" w:cs="Times New Roman"/>
          <w:i/>
          <w:iCs/>
          <w:color w:val="1E1E1E"/>
          <w:sz w:val="22"/>
          <w:szCs w:val="22"/>
        </w:rPr>
        <w:t>People v. Ramon</w:t>
      </w:r>
      <w:r w:rsidRPr="003957BB">
        <w:rPr>
          <w:rFonts w:ascii="Merriweather" w:eastAsia="Times New Roman" w:hAnsi="Merriweather" w:cs="Times New Roman"/>
          <w:color w:val="1E1E1E"/>
          <w:sz w:val="22"/>
          <w:szCs w:val="22"/>
        </w:rPr>
        <w:t> (2009) </w:t>
      </w:r>
      <w:hyperlink r:id="rId27" w:history="1">
        <w:r w:rsidRPr="003957BB">
          <w:rPr>
            <w:rFonts w:ascii="Merriweather" w:eastAsia="Times New Roman" w:hAnsi="Merriweather" w:cs="Times New Roman"/>
            <w:color w:val="00528B"/>
            <w:sz w:val="22"/>
            <w:szCs w:val="22"/>
            <w:u w:val="single"/>
          </w:rPr>
          <w:t>175 Cal.App.4th 843</w:t>
        </w:r>
      </w:hyperlink>
      <w:r w:rsidRPr="003957BB">
        <w:rPr>
          <w:rFonts w:ascii="Merriweather" w:eastAsia="Times New Roman" w:hAnsi="Merriweather" w:cs="Times New Roman"/>
          <w:color w:val="1E1E1E"/>
          <w:sz w:val="22"/>
          <w:szCs w:val="22"/>
        </w:rPr>
        <w:t>, 851). Defendant seeks to avoid this conclusion by asserting that the People never proved he could </w:t>
      </w:r>
      <w:r w:rsidRPr="003957BB">
        <w:rPr>
          <w:rFonts w:ascii="Merriweather" w:eastAsia="Times New Roman" w:hAnsi="Merriweather" w:cs="Times New Roman"/>
          <w:i/>
          <w:iCs/>
          <w:color w:val="1E1E1E"/>
          <w:sz w:val="22"/>
          <w:szCs w:val="22"/>
        </w:rPr>
        <w:t>not</w:t>
      </w:r>
      <w:r w:rsidRPr="003957BB">
        <w:rPr>
          <w:rFonts w:ascii="Merriweather" w:eastAsia="Times New Roman" w:hAnsi="Merriweather" w:cs="Times New Roman"/>
          <w:color w:val="1E1E1E"/>
          <w:sz w:val="22"/>
          <w:szCs w:val="22"/>
        </w:rPr>
        <w:t> see the knife sheath and that his counsel argued the knife was at play in his closing argument. These further arguments lack merit because neither the absence of evidence nor the argument of counsel constitutes evidence, let alone substantial evidence. (</w:t>
      </w:r>
      <w:r w:rsidRPr="003957BB">
        <w:rPr>
          <w:rFonts w:ascii="Merriweather" w:eastAsia="Times New Roman" w:hAnsi="Merriweather" w:cs="Times New Roman"/>
          <w:i/>
          <w:iCs/>
          <w:color w:val="1E1E1E"/>
          <w:sz w:val="22"/>
          <w:szCs w:val="22"/>
        </w:rPr>
        <w:t>Roddenberry v. Roddenberry</w:t>
      </w:r>
      <w:r w:rsidRPr="003957BB">
        <w:rPr>
          <w:rFonts w:ascii="Merriweather" w:eastAsia="Times New Roman" w:hAnsi="Merriweather" w:cs="Times New Roman"/>
          <w:color w:val="1E1E1E"/>
          <w:sz w:val="22"/>
          <w:szCs w:val="22"/>
        </w:rPr>
        <w:t> (1996) </w:t>
      </w:r>
      <w:hyperlink r:id="rId28" w:history="1">
        <w:r w:rsidRPr="003957BB">
          <w:rPr>
            <w:rFonts w:ascii="Merriweather" w:eastAsia="Times New Roman" w:hAnsi="Merriweather" w:cs="Times New Roman"/>
            <w:color w:val="00528B"/>
            <w:sz w:val="22"/>
            <w:szCs w:val="22"/>
            <w:u w:val="single"/>
          </w:rPr>
          <w:t>44 Cal.App.4th 634</w:t>
        </w:r>
      </w:hyperlink>
      <w:r w:rsidRPr="003957BB">
        <w:rPr>
          <w:rFonts w:ascii="Merriweather" w:eastAsia="Times New Roman" w:hAnsi="Merriweather" w:cs="Times New Roman"/>
          <w:color w:val="1E1E1E"/>
          <w:sz w:val="22"/>
          <w:szCs w:val="22"/>
        </w:rPr>
        <w:t>, 655 ["An absence of evidence is not the equivalent of substantial evidence."]; </w:t>
      </w:r>
      <w:r w:rsidRPr="003957BB">
        <w:rPr>
          <w:rFonts w:ascii="Merriweather" w:eastAsia="Times New Roman" w:hAnsi="Merriweather" w:cs="Times New Roman"/>
          <w:i/>
          <w:iCs/>
          <w:color w:val="1E1E1E"/>
          <w:sz w:val="22"/>
          <w:szCs w:val="22"/>
        </w:rPr>
        <w:t>People v. Redd</w:t>
      </w:r>
      <w:r w:rsidRPr="003957BB">
        <w:rPr>
          <w:rFonts w:ascii="Merriweather" w:eastAsia="Times New Roman" w:hAnsi="Merriweather" w:cs="Times New Roman"/>
          <w:color w:val="1E1E1E"/>
          <w:sz w:val="22"/>
          <w:szCs w:val="22"/>
        </w:rPr>
        <w:t> (2010) </w:t>
      </w:r>
      <w:hyperlink r:id="rId29" w:history="1">
        <w:r w:rsidRPr="003957BB">
          <w:rPr>
            <w:rFonts w:ascii="Merriweather" w:eastAsia="Times New Roman" w:hAnsi="Merriweather" w:cs="Times New Roman"/>
            <w:color w:val="00528B"/>
            <w:sz w:val="22"/>
            <w:szCs w:val="22"/>
            <w:u w:val="single"/>
          </w:rPr>
          <w:t>48 Cal.4th 691</w:t>
        </w:r>
      </w:hyperlink>
      <w:r w:rsidRPr="003957BB">
        <w:rPr>
          <w:rFonts w:ascii="Merriweather" w:eastAsia="Times New Roman" w:hAnsi="Merriweather" w:cs="Times New Roman"/>
          <w:color w:val="1E1E1E"/>
          <w:sz w:val="22"/>
          <w:szCs w:val="22"/>
        </w:rPr>
        <w:t>, 743, fn. 25 ["`"statements and argument of counsel are not evidence"'"].)</w:t>
      </w:r>
    </w:p>
    <w:p w14:paraId="57AF2816"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 xml:space="preserve">Second, defendant posits that the trial court should have instructed the jury to consider his long history of animosity with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in evaluating his claim of imperfect defense of others. Under the "antecedent threat" doctrine, a defendant may be "entitled to an instruction on the effect of antecedent threats or assaults by the victim </w:t>
      </w:r>
      <w:r w:rsidRPr="003957BB">
        <w:rPr>
          <w:rFonts w:ascii="Merriweather" w:eastAsia="Times New Roman" w:hAnsi="Merriweather" w:cs="Times New Roman"/>
          <w:i/>
          <w:iCs/>
          <w:color w:val="1E1E1E"/>
          <w:sz w:val="22"/>
          <w:szCs w:val="22"/>
        </w:rPr>
        <w:t>on the reasonableness of defendant's conduct.</w:t>
      </w:r>
      <w:r w:rsidRPr="003957BB">
        <w:rPr>
          <w:rFonts w:ascii="Merriweather" w:eastAsia="Times New Roman" w:hAnsi="Merriweather" w:cs="Times New Roman"/>
          <w:color w:val="1E1E1E"/>
          <w:sz w:val="22"/>
          <w:szCs w:val="22"/>
        </w:rPr>
        <w:t>" (</w:t>
      </w:r>
      <w:r w:rsidRPr="003957BB">
        <w:rPr>
          <w:rFonts w:ascii="Merriweather" w:eastAsia="Times New Roman" w:hAnsi="Merriweather" w:cs="Times New Roman"/>
          <w:i/>
          <w:iCs/>
          <w:color w:val="1E1E1E"/>
          <w:sz w:val="22"/>
          <w:szCs w:val="22"/>
        </w:rPr>
        <w:t>People v. Gonzalez</w:t>
      </w:r>
      <w:r w:rsidRPr="003957BB">
        <w:rPr>
          <w:rFonts w:ascii="Merriweather" w:eastAsia="Times New Roman" w:hAnsi="Merriweather" w:cs="Times New Roman"/>
          <w:color w:val="1E1E1E"/>
          <w:sz w:val="22"/>
          <w:szCs w:val="22"/>
        </w:rPr>
        <w:t> (1992) </w:t>
      </w:r>
      <w:hyperlink r:id="rId30" w:history="1">
        <w:r w:rsidRPr="003957BB">
          <w:rPr>
            <w:rFonts w:ascii="Merriweather" w:eastAsia="Times New Roman" w:hAnsi="Merriweather" w:cs="Times New Roman"/>
            <w:color w:val="00528B"/>
            <w:sz w:val="22"/>
            <w:szCs w:val="22"/>
            <w:u w:val="single"/>
          </w:rPr>
          <w:t>8 Cal.App.4th 1658</w:t>
        </w:r>
      </w:hyperlink>
      <w:r w:rsidRPr="003957BB">
        <w:rPr>
          <w:rFonts w:ascii="Merriweather" w:eastAsia="Times New Roman" w:hAnsi="Merriweather" w:cs="Times New Roman"/>
          <w:color w:val="1E1E1E"/>
          <w:sz w:val="22"/>
          <w:szCs w:val="22"/>
        </w:rPr>
        <w:t>, 1663-1664, italics added and deleted; </w:t>
      </w:r>
      <w:r w:rsidRPr="003957BB">
        <w:rPr>
          <w:rFonts w:ascii="Merriweather" w:eastAsia="Times New Roman" w:hAnsi="Merriweather" w:cs="Times New Roman"/>
          <w:i/>
          <w:iCs/>
          <w:color w:val="1E1E1E"/>
          <w:sz w:val="22"/>
          <w:szCs w:val="22"/>
        </w:rPr>
        <w:t xml:space="preserve">People v. </w:t>
      </w:r>
      <w:proofErr w:type="spellStart"/>
      <w:r w:rsidRPr="003957BB">
        <w:rPr>
          <w:rFonts w:ascii="Merriweather" w:eastAsia="Times New Roman" w:hAnsi="Merriweather" w:cs="Times New Roman"/>
          <w:i/>
          <w:iCs/>
          <w:color w:val="1E1E1E"/>
          <w:sz w:val="22"/>
          <w:szCs w:val="22"/>
        </w:rPr>
        <w:t>Minifie</w:t>
      </w:r>
      <w:proofErr w:type="spellEnd"/>
      <w:r w:rsidRPr="003957BB">
        <w:rPr>
          <w:rFonts w:ascii="Merriweather" w:eastAsia="Times New Roman" w:hAnsi="Merriweather" w:cs="Times New Roman"/>
          <w:color w:val="1E1E1E"/>
          <w:sz w:val="22"/>
          <w:szCs w:val="22"/>
        </w:rPr>
        <w:t> (1996) </w:t>
      </w:r>
      <w:hyperlink r:id="rId31" w:history="1">
        <w:r w:rsidRPr="003957BB">
          <w:rPr>
            <w:rFonts w:ascii="Merriweather" w:eastAsia="Times New Roman" w:hAnsi="Merriweather" w:cs="Times New Roman"/>
            <w:color w:val="00528B"/>
            <w:sz w:val="22"/>
            <w:szCs w:val="22"/>
            <w:u w:val="single"/>
          </w:rPr>
          <w:t>13 Cal.4th 1055</w:t>
        </w:r>
      </w:hyperlink>
      <w:r w:rsidRPr="003957BB">
        <w:rPr>
          <w:rFonts w:ascii="Merriweather" w:eastAsia="Times New Roman" w:hAnsi="Merriweather" w:cs="Times New Roman"/>
          <w:color w:val="1E1E1E"/>
          <w:sz w:val="22"/>
          <w:szCs w:val="22"/>
        </w:rPr>
        <w:t>, 1065-1066; </w:t>
      </w:r>
      <w:r w:rsidRPr="003957BB">
        <w:rPr>
          <w:rFonts w:ascii="Merriweather" w:eastAsia="Times New Roman" w:hAnsi="Merriweather" w:cs="Times New Roman"/>
          <w:i/>
          <w:iCs/>
          <w:color w:val="1E1E1E"/>
          <w:sz w:val="22"/>
          <w:szCs w:val="22"/>
        </w:rPr>
        <w:t>People v. Moore</w:t>
      </w:r>
      <w:r w:rsidRPr="003957BB">
        <w:rPr>
          <w:rFonts w:ascii="Merriweather" w:eastAsia="Times New Roman" w:hAnsi="Merriweather" w:cs="Times New Roman"/>
          <w:color w:val="1E1E1E"/>
          <w:sz w:val="22"/>
          <w:szCs w:val="22"/>
        </w:rPr>
        <w:t> (1954) </w:t>
      </w:r>
      <w:hyperlink r:id="rId32" w:history="1">
        <w:r w:rsidRPr="003957BB">
          <w:rPr>
            <w:rFonts w:ascii="Merriweather" w:eastAsia="Times New Roman" w:hAnsi="Merriweather" w:cs="Times New Roman"/>
            <w:color w:val="00528B"/>
            <w:sz w:val="22"/>
            <w:szCs w:val="22"/>
            <w:u w:val="single"/>
          </w:rPr>
          <w:t>43 Cal.2d 517</w:t>
        </w:r>
      </w:hyperlink>
      <w:r w:rsidRPr="003957BB">
        <w:rPr>
          <w:rFonts w:ascii="Merriweather" w:eastAsia="Times New Roman" w:hAnsi="Merriweather" w:cs="Times New Roman"/>
          <w:color w:val="1E1E1E"/>
          <w:sz w:val="22"/>
          <w:szCs w:val="22"/>
        </w:rPr>
        <w:t>, 528-529.) Thus, such an instruction may be necessary when instructing on perfect self-defense or defense of others, which requires that the defendant's belief is both actual and reasonable. (</w:t>
      </w:r>
      <w:r w:rsidRPr="003957BB">
        <w:rPr>
          <w:rFonts w:ascii="Merriweather" w:eastAsia="Times New Roman" w:hAnsi="Merriweather" w:cs="Times New Roman"/>
          <w:i/>
          <w:iCs/>
          <w:color w:val="1E1E1E"/>
          <w:sz w:val="22"/>
          <w:szCs w:val="22"/>
        </w:rPr>
        <w:t xml:space="preserve">People v. </w:t>
      </w:r>
      <w:proofErr w:type="spellStart"/>
      <w:r w:rsidRPr="003957BB">
        <w:rPr>
          <w:rFonts w:ascii="Merriweather" w:eastAsia="Times New Roman" w:hAnsi="Merriweather" w:cs="Times New Roman"/>
          <w:i/>
          <w:iCs/>
          <w:color w:val="1E1E1E"/>
          <w:sz w:val="22"/>
          <w:szCs w:val="22"/>
        </w:rPr>
        <w:t>Rodarte</w:t>
      </w:r>
      <w:proofErr w:type="spellEnd"/>
      <w:r w:rsidRPr="003957BB">
        <w:rPr>
          <w:rFonts w:ascii="Merriweather" w:eastAsia="Times New Roman" w:hAnsi="Merriweather" w:cs="Times New Roman"/>
          <w:color w:val="1E1E1E"/>
          <w:sz w:val="22"/>
          <w:szCs w:val="22"/>
        </w:rPr>
        <w:t> (2014) </w:t>
      </w:r>
      <w:hyperlink r:id="rId33" w:history="1">
        <w:r w:rsidRPr="003957BB">
          <w:rPr>
            <w:rFonts w:ascii="Merriweather" w:eastAsia="Times New Roman" w:hAnsi="Merriweather" w:cs="Times New Roman"/>
            <w:color w:val="00528B"/>
            <w:sz w:val="22"/>
            <w:szCs w:val="22"/>
            <w:u w:val="single"/>
          </w:rPr>
          <w:t>223 Cal.App.4th 1158</w:t>
        </w:r>
      </w:hyperlink>
      <w:r w:rsidRPr="003957BB">
        <w:rPr>
          <w:rFonts w:ascii="Merriweather" w:eastAsia="Times New Roman" w:hAnsi="Merriweather" w:cs="Times New Roman"/>
          <w:color w:val="1E1E1E"/>
          <w:sz w:val="22"/>
          <w:szCs w:val="22"/>
        </w:rPr>
        <w:t>, 1170-1171.) But it is wholly irrelevant where, as here, the issue is imperfect self-defense or defense of others, for which the reasonableness of a defendant's belief in the need for self-defense is irrelevant. (</w:t>
      </w:r>
      <w:r w:rsidRPr="003957BB">
        <w:rPr>
          <w:rFonts w:ascii="Merriweather" w:eastAsia="Times New Roman" w:hAnsi="Merriweather" w:cs="Times New Roman"/>
          <w:i/>
          <w:iCs/>
          <w:color w:val="1E1E1E"/>
          <w:sz w:val="22"/>
          <w:szCs w:val="22"/>
        </w:rPr>
        <w:t>Michaels, supra,</w:t>
      </w:r>
      <w:r w:rsidRPr="003957BB">
        <w:rPr>
          <w:rFonts w:ascii="Merriweather" w:eastAsia="Times New Roman" w:hAnsi="Merriweather" w:cs="Times New Roman"/>
          <w:color w:val="1E1E1E"/>
          <w:sz w:val="22"/>
          <w:szCs w:val="22"/>
        </w:rPr>
        <w:t> 28 Cal.4th at p. 528.)</w:t>
      </w:r>
    </w:p>
    <w:p w14:paraId="75A1BBEA"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B. </w:t>
      </w:r>
      <w:r w:rsidRPr="003957BB">
        <w:rPr>
          <w:rFonts w:ascii="Oswald" w:eastAsia="Times New Roman" w:hAnsi="Oswald" w:cs="Times New Roman"/>
          <w:b/>
          <w:bCs/>
          <w:i/>
          <w:iCs/>
          <w:color w:val="4A4A4A"/>
          <w:spacing w:val="24"/>
          <w:sz w:val="29"/>
          <w:szCs w:val="29"/>
        </w:rPr>
        <w:t>Removal of voluntary manslaughter from consideration</w:t>
      </w:r>
    </w:p>
    <w:p w14:paraId="58B2FDBC"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lastRenderedPageBreak/>
        <w:t xml:space="preserve">Murder is "the unlawful killing of a human being . . . with malice aforethought." (§ 187, </w:t>
      </w:r>
      <w:proofErr w:type="spellStart"/>
      <w:r w:rsidRPr="003957BB">
        <w:rPr>
          <w:rFonts w:ascii="Merriweather" w:eastAsia="Times New Roman" w:hAnsi="Merriweather" w:cs="Times New Roman"/>
          <w:color w:val="1E1E1E"/>
          <w:sz w:val="22"/>
          <w:szCs w:val="22"/>
        </w:rPr>
        <w:t>subd</w:t>
      </w:r>
      <w:proofErr w:type="spellEnd"/>
      <w:r w:rsidRPr="003957BB">
        <w:rPr>
          <w:rFonts w:ascii="Merriweather" w:eastAsia="Times New Roman" w:hAnsi="Merriweather" w:cs="Times New Roman"/>
          <w:color w:val="1E1E1E"/>
          <w:sz w:val="22"/>
          <w:szCs w:val="22"/>
        </w:rPr>
        <w:t>. (a).) Voluntary manslaughter is a lesser included offense to murder that exists in "`limited, explicitly defined circumstances'"—namely, (1) "when the defendant acts in a `sudden quarrel or heat of passion'" or (2) "`when the defendant kills in "unreasonable self-defense" [or defense of others].'" (</w:t>
      </w:r>
      <w:r w:rsidRPr="003957BB">
        <w:rPr>
          <w:rFonts w:ascii="Merriweather" w:eastAsia="Times New Roman" w:hAnsi="Merriweather" w:cs="Times New Roman"/>
          <w:i/>
          <w:iCs/>
          <w:color w:val="1E1E1E"/>
          <w:sz w:val="22"/>
          <w:szCs w:val="22"/>
        </w:rPr>
        <w:t xml:space="preserve">People v. </w:t>
      </w:r>
      <w:proofErr w:type="spellStart"/>
      <w:r w:rsidRPr="003957BB">
        <w:rPr>
          <w:rFonts w:ascii="Merriweather" w:eastAsia="Times New Roman" w:hAnsi="Merriweather" w:cs="Times New Roman"/>
          <w:i/>
          <w:iCs/>
          <w:color w:val="1E1E1E"/>
          <w:sz w:val="22"/>
          <w:szCs w:val="22"/>
        </w:rPr>
        <w:t>Lasko</w:t>
      </w:r>
      <w:proofErr w:type="spellEnd"/>
      <w:r w:rsidRPr="003957BB">
        <w:rPr>
          <w:rFonts w:ascii="Merriweather" w:eastAsia="Times New Roman" w:hAnsi="Merriweather" w:cs="Times New Roman"/>
          <w:color w:val="1E1E1E"/>
          <w:sz w:val="22"/>
          <w:szCs w:val="22"/>
        </w:rPr>
        <w:t> (2000) </w:t>
      </w:r>
      <w:hyperlink r:id="rId34" w:history="1">
        <w:r w:rsidRPr="003957BB">
          <w:rPr>
            <w:rFonts w:ascii="Merriweather" w:eastAsia="Times New Roman" w:hAnsi="Merriweather" w:cs="Times New Roman"/>
            <w:color w:val="00528B"/>
            <w:sz w:val="22"/>
            <w:szCs w:val="22"/>
            <w:u w:val="single"/>
          </w:rPr>
          <w:t>23 Cal.4th 101</w:t>
        </w:r>
      </w:hyperlink>
      <w:r w:rsidRPr="003957BB">
        <w:rPr>
          <w:rFonts w:ascii="Merriweather" w:eastAsia="Times New Roman" w:hAnsi="Merriweather" w:cs="Times New Roman"/>
          <w:color w:val="1E1E1E"/>
          <w:sz w:val="22"/>
          <w:szCs w:val="22"/>
        </w:rPr>
        <w:t>, 108, citing § 192 (</w:t>
      </w:r>
      <w:proofErr w:type="spellStart"/>
      <w:r w:rsidRPr="003957BB">
        <w:rPr>
          <w:rFonts w:ascii="Merriweather" w:eastAsia="Times New Roman" w:hAnsi="Merriweather" w:cs="Times New Roman"/>
          <w:i/>
          <w:iCs/>
          <w:color w:val="1E1E1E"/>
          <w:sz w:val="22"/>
          <w:szCs w:val="22"/>
        </w:rPr>
        <w:t>Lasko</w:t>
      </w:r>
      <w:proofErr w:type="spellEnd"/>
      <w:r w:rsidRPr="003957BB">
        <w:rPr>
          <w:rFonts w:ascii="Merriweather" w:eastAsia="Times New Roman" w:hAnsi="Merriweather" w:cs="Times New Roman"/>
          <w:color w:val="1E1E1E"/>
          <w:sz w:val="22"/>
          <w:szCs w:val="22"/>
        </w:rPr>
        <w:t>); </w:t>
      </w:r>
      <w:r w:rsidRPr="003957BB">
        <w:rPr>
          <w:rFonts w:ascii="Merriweather" w:eastAsia="Times New Roman" w:hAnsi="Merriweather" w:cs="Times New Roman"/>
          <w:i/>
          <w:iCs/>
          <w:color w:val="1E1E1E"/>
          <w:sz w:val="22"/>
          <w:szCs w:val="22"/>
        </w:rPr>
        <w:t>People v. Blakeley</w:t>
      </w:r>
      <w:r w:rsidRPr="003957BB">
        <w:rPr>
          <w:rFonts w:ascii="Merriweather" w:eastAsia="Times New Roman" w:hAnsi="Merriweather" w:cs="Times New Roman"/>
          <w:color w:val="1E1E1E"/>
          <w:sz w:val="22"/>
          <w:szCs w:val="22"/>
        </w:rPr>
        <w:t> (2000) </w:t>
      </w:r>
      <w:hyperlink r:id="rId35" w:history="1">
        <w:r w:rsidRPr="003957BB">
          <w:rPr>
            <w:rFonts w:ascii="Merriweather" w:eastAsia="Times New Roman" w:hAnsi="Merriweather" w:cs="Times New Roman"/>
            <w:color w:val="00528B"/>
            <w:sz w:val="22"/>
            <w:szCs w:val="22"/>
            <w:u w:val="single"/>
          </w:rPr>
          <w:t>23 Cal.4th 82</w:t>
        </w:r>
      </w:hyperlink>
      <w:r w:rsidRPr="003957BB">
        <w:rPr>
          <w:rFonts w:ascii="Merriweather" w:eastAsia="Times New Roman" w:hAnsi="Merriweather" w:cs="Times New Roman"/>
          <w:color w:val="1E1E1E"/>
          <w:sz w:val="22"/>
          <w:szCs w:val="22"/>
        </w:rPr>
        <w:t>, 87-88.) What differentiates murder from voluntary manslaughter is the element of malice aforethought: A defendant who commits an unlawful killing while acting under the heat of passion or laboring under an actual but unreasonable belief in the need for self-defense (or defense of others) is deemed to be acting without malice aforethought. (</w:t>
      </w:r>
      <w:r w:rsidRPr="003957BB">
        <w:rPr>
          <w:rFonts w:ascii="Merriweather" w:eastAsia="Times New Roman" w:hAnsi="Merriweather" w:cs="Times New Roman"/>
          <w:i/>
          <w:iCs/>
          <w:color w:val="1E1E1E"/>
          <w:sz w:val="22"/>
          <w:szCs w:val="22"/>
        </w:rPr>
        <w:t>People v. Rangel</w:t>
      </w:r>
      <w:r w:rsidRPr="003957BB">
        <w:rPr>
          <w:rFonts w:ascii="Merriweather" w:eastAsia="Times New Roman" w:hAnsi="Merriweather" w:cs="Times New Roman"/>
          <w:color w:val="1E1E1E"/>
          <w:sz w:val="22"/>
          <w:szCs w:val="22"/>
        </w:rPr>
        <w:t> (2016) </w:t>
      </w:r>
      <w:hyperlink r:id="rId36" w:history="1">
        <w:r w:rsidRPr="003957BB">
          <w:rPr>
            <w:rFonts w:ascii="Merriweather" w:eastAsia="Times New Roman" w:hAnsi="Merriweather" w:cs="Times New Roman"/>
            <w:color w:val="00528B"/>
            <w:sz w:val="22"/>
            <w:szCs w:val="22"/>
            <w:u w:val="single"/>
          </w:rPr>
          <w:t>62 Cal.4th 1192</w:t>
        </w:r>
      </w:hyperlink>
      <w:r w:rsidRPr="003957BB">
        <w:rPr>
          <w:rFonts w:ascii="Merriweather" w:eastAsia="Times New Roman" w:hAnsi="Merriweather" w:cs="Times New Roman"/>
          <w:color w:val="1E1E1E"/>
          <w:sz w:val="22"/>
          <w:szCs w:val="22"/>
        </w:rPr>
        <w:t>, 1226; </w:t>
      </w:r>
      <w:proofErr w:type="spellStart"/>
      <w:r w:rsidRPr="003957BB">
        <w:rPr>
          <w:rFonts w:ascii="Merriweather" w:eastAsia="Times New Roman" w:hAnsi="Merriweather" w:cs="Times New Roman"/>
          <w:i/>
          <w:iCs/>
          <w:color w:val="1E1E1E"/>
          <w:sz w:val="22"/>
          <w:szCs w:val="22"/>
        </w:rPr>
        <w:t>Lasko</w:t>
      </w:r>
      <w:proofErr w:type="spellEnd"/>
      <w:r w:rsidRPr="003957BB">
        <w:rPr>
          <w:rFonts w:ascii="Merriweather" w:eastAsia="Times New Roman" w:hAnsi="Merriweather" w:cs="Times New Roman"/>
          <w:i/>
          <w:iCs/>
          <w:color w:val="1E1E1E"/>
          <w:sz w:val="22"/>
          <w:szCs w:val="22"/>
        </w:rPr>
        <w:t>,</w:t>
      </w:r>
      <w:r w:rsidRPr="003957BB">
        <w:rPr>
          <w:rFonts w:ascii="Merriweather" w:eastAsia="Times New Roman" w:hAnsi="Merriweather" w:cs="Times New Roman"/>
          <w:color w:val="1E1E1E"/>
          <w:sz w:val="22"/>
          <w:szCs w:val="22"/>
        </w:rPr>
        <w:t> at pp. 109-110.)</w:t>
      </w:r>
    </w:p>
    <w:p w14:paraId="65BD0DB4"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The jury instructions in this case, while wordier than they needed to be, correctly conveyed the above stated law. Using CALJIC Nos. 8.10 and 8.11, the jury was instructed that (1) murder is defined as "unlawfully kill[</w:t>
      </w:r>
      <w:proofErr w:type="spellStart"/>
      <w:r w:rsidRPr="003957BB">
        <w:rPr>
          <w:rFonts w:ascii="Merriweather" w:eastAsia="Times New Roman" w:hAnsi="Merriweather" w:cs="Times New Roman"/>
          <w:color w:val="1E1E1E"/>
          <w:sz w:val="22"/>
          <w:szCs w:val="22"/>
        </w:rPr>
        <w:t>ing</w:t>
      </w:r>
      <w:proofErr w:type="spellEnd"/>
      <w:r w:rsidRPr="003957BB">
        <w:rPr>
          <w:rFonts w:ascii="Merriweather" w:eastAsia="Times New Roman" w:hAnsi="Merriweather" w:cs="Times New Roman"/>
          <w:color w:val="1E1E1E"/>
          <w:sz w:val="22"/>
          <w:szCs w:val="22"/>
        </w:rPr>
        <w:t>] a human being with malice aforethought"; (2) "malice aforethought" may be either "express or implied"; (3) "express" malice is an "intent[] . . . to kill"; and (4) "implied" malice exists when the killing "result[s] from an intentional act," the "natural consequences" of which are "dangerous to human life," when that "act was deliberately performed with knowledge of the danger to, and with conscious disregard for, human life." Using CALJIC No. 8.40, which largely parallels CALJIC Nos. 8.10 and 8.11, the jury was instructed that voluntary manslaughter is the "unlawful[] kill[</w:t>
      </w:r>
      <w:proofErr w:type="spellStart"/>
      <w:r w:rsidRPr="003957BB">
        <w:rPr>
          <w:rFonts w:ascii="Merriweather" w:eastAsia="Times New Roman" w:hAnsi="Merriweather" w:cs="Times New Roman"/>
          <w:color w:val="1E1E1E"/>
          <w:sz w:val="22"/>
          <w:szCs w:val="22"/>
        </w:rPr>
        <w:t>ing</w:t>
      </w:r>
      <w:proofErr w:type="spellEnd"/>
      <w:r w:rsidRPr="003957BB">
        <w:rPr>
          <w:rFonts w:ascii="Merriweather" w:eastAsia="Times New Roman" w:hAnsi="Merriweather" w:cs="Times New Roman"/>
          <w:color w:val="1E1E1E"/>
          <w:sz w:val="22"/>
          <w:szCs w:val="22"/>
        </w:rPr>
        <w:t>] [of] another human being," except "without malice aforethought," but with (1) "an intent to kill" or (2) "conscious disregard for human life," which is defined as a killing that "result[s] from . . . an intentional act," "the natural consequences of which are dangerous to life," when that "act was deliberately performed by a person who knows that his or her conduct endangers the life of another and who acts with conscious disregard for life."</w:t>
      </w:r>
      <w:hyperlink r:id="rId37" w:anchor="fid3" w:history="1">
        <w:r w:rsidRPr="003957BB">
          <w:rPr>
            <w:rFonts w:ascii="Merriweather" w:eastAsia="Times New Roman" w:hAnsi="Merriweather" w:cs="Times New Roman"/>
            <w:color w:val="00528B"/>
            <w:sz w:val="16"/>
            <w:szCs w:val="16"/>
            <w:vertAlign w:val="superscript"/>
          </w:rPr>
          <w:t>3</w:t>
        </w:r>
      </w:hyperlink>
      <w:r w:rsidRPr="003957BB">
        <w:rPr>
          <w:rFonts w:ascii="Merriweather" w:eastAsia="Times New Roman" w:hAnsi="Merriweather" w:cs="Times New Roman"/>
          <w:color w:val="1E1E1E"/>
          <w:sz w:val="22"/>
          <w:szCs w:val="22"/>
        </w:rPr>
        <w:t> Using CALJIC Nos. 5.17, 8.42, 8.43, 8.50 and 4.33, the jury was instructed on the two circumstances that negate malice aforethought (and that thereby differentiate murder from voluntary manslaughter)—namely, (1) killing a person as a result of a "sudden quarrel or heat of passion," or (2) killing a person "in the actual but unreasonable belief in the necessity to defend against imminent peril to life or great bodily injury."</w:t>
      </w:r>
    </w:p>
    <w:p w14:paraId="20C3AEA0"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 xml:space="preserve">Defendant nevertheless argues that these instructions effectively foreclosed the jury from finding him guilty of any type of voluntary manslaughter. Specifically, he argues that the definition of "implied malice" in the murder instruction is the same as the </w:t>
      </w:r>
      <w:r w:rsidRPr="003957BB">
        <w:rPr>
          <w:rFonts w:ascii="Merriweather" w:eastAsia="Times New Roman" w:hAnsi="Merriweather" w:cs="Times New Roman"/>
          <w:color w:val="1E1E1E"/>
          <w:sz w:val="22"/>
          <w:szCs w:val="22"/>
        </w:rPr>
        <w:lastRenderedPageBreak/>
        <w:t>"conscious disregard of human life" in the voluntary manslaughter instruction, which meant that once the jurors concluded that he acted with implied malice, they could never find him guilty of voluntary manslaughter. This danger, defendant continues, was exacerbated by the CALJIC 8.75 instruction that required the jury to reach a verdict about murder before reaching a verdict upon voluntary manslaughter and by the CALJIC 1.22 instruction that incorrectly defined malice as "a wish to vex, annoy, or injure another person, or an intent to do a wrongful act."</w:t>
      </w:r>
    </w:p>
    <w:p w14:paraId="0E0EE9C0"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Defendant's argument rests on a selective—and hence impermissible—reading of the jury instructions. He is correct that the murder and voluntary manslaughter instructions given in this case each effectively use the same definitions of "express malice" and "implied malice," but he ignores that (</w:t>
      </w:r>
      <w:proofErr w:type="spellStart"/>
      <w:r w:rsidRPr="003957BB">
        <w:rPr>
          <w:rFonts w:ascii="Merriweather" w:eastAsia="Times New Roman" w:hAnsi="Merriweather" w:cs="Times New Roman"/>
          <w:color w:val="1E1E1E"/>
          <w:sz w:val="22"/>
          <w:szCs w:val="22"/>
        </w:rPr>
        <w:t>i</w:t>
      </w:r>
      <w:proofErr w:type="spellEnd"/>
      <w:r w:rsidRPr="003957BB">
        <w:rPr>
          <w:rFonts w:ascii="Merriweather" w:eastAsia="Times New Roman" w:hAnsi="Merriweather" w:cs="Times New Roman"/>
          <w:color w:val="1E1E1E"/>
          <w:sz w:val="22"/>
          <w:szCs w:val="22"/>
        </w:rPr>
        <w:t>) the murder instruction also requires the jury to find "malice aforethought" and (ii) other instructions informed the jury that malice aforethought (based on either express or implied malice) does not exist if the defendant acts under a heat of passion or in imperfect self-defense. To be sure, the CALJIC instructions do in two steps (defining murder and voluntary manslaughter with parallel language, and then having separate instructions as to when murder is reduced to voluntary manslaughter) what the CALCRIM instructions do in just one step (defining voluntary manslaughter by the circumstances of reduction themselves). This is undoubtedly why CALCRIM is preferred over CALJIC. (Cal. Rules of Court, rule 2.1050(e); </w:t>
      </w:r>
      <w:r w:rsidRPr="003957BB">
        <w:rPr>
          <w:rFonts w:ascii="Merriweather" w:eastAsia="Times New Roman" w:hAnsi="Merriweather" w:cs="Times New Roman"/>
          <w:i/>
          <w:iCs/>
          <w:color w:val="1E1E1E"/>
          <w:sz w:val="22"/>
          <w:szCs w:val="22"/>
        </w:rPr>
        <w:t>People v. Cornejo</w:t>
      </w:r>
      <w:r w:rsidRPr="003957BB">
        <w:rPr>
          <w:rFonts w:ascii="Merriweather" w:eastAsia="Times New Roman" w:hAnsi="Merriweather" w:cs="Times New Roman"/>
          <w:color w:val="1E1E1E"/>
          <w:sz w:val="22"/>
          <w:szCs w:val="22"/>
        </w:rPr>
        <w:t> (2016) 3 Cal.App.5th 36, 60.) But, </w:t>
      </w:r>
      <w:r w:rsidRPr="003957BB">
        <w:rPr>
          <w:rFonts w:ascii="Merriweather" w:eastAsia="Times New Roman" w:hAnsi="Merriweather" w:cs="Times New Roman"/>
          <w:i/>
          <w:iCs/>
          <w:color w:val="1E1E1E"/>
          <w:sz w:val="22"/>
          <w:szCs w:val="22"/>
        </w:rPr>
        <w:t>read as a whole,</w:t>
      </w:r>
      <w:r w:rsidRPr="003957BB">
        <w:rPr>
          <w:rFonts w:ascii="Merriweather" w:eastAsia="Times New Roman" w:hAnsi="Merriweather" w:cs="Times New Roman"/>
          <w:color w:val="1E1E1E"/>
          <w:sz w:val="22"/>
          <w:szCs w:val="22"/>
        </w:rPr>
        <w:t> even these CALJIC instructions correctly relay the pertinent legal principles and adequately preserve a jury's ability to find defendant guilty of voluntary manslaughter. (Accord, </w:t>
      </w:r>
      <w:r w:rsidRPr="003957BB">
        <w:rPr>
          <w:rFonts w:ascii="Merriweather" w:eastAsia="Times New Roman" w:hAnsi="Merriweather" w:cs="Times New Roman"/>
          <w:i/>
          <w:iCs/>
          <w:color w:val="1E1E1E"/>
          <w:sz w:val="22"/>
          <w:szCs w:val="22"/>
        </w:rPr>
        <w:t>People v. Covarrubias</w:t>
      </w:r>
      <w:r w:rsidRPr="003957BB">
        <w:rPr>
          <w:rFonts w:ascii="Merriweather" w:eastAsia="Times New Roman" w:hAnsi="Merriweather" w:cs="Times New Roman"/>
          <w:color w:val="1E1E1E"/>
          <w:sz w:val="22"/>
          <w:szCs w:val="22"/>
        </w:rPr>
        <w:t> (2016) 1 Cal.5th 838, 915 [""`"we must assume that jurors are intelligent persons and capable of understanding and correlating all jury instructions which are given"'""].) The sole error in these instructions is the definition of malice in CALJIC 1.22. As the People concede, that instruction provided a definition of "malice" that is inapplicable to the crime of murder. However, this error was harmless because "the court also correctly instructed on malice aforethought" as defined for the crime of murder. (</w:t>
      </w:r>
      <w:r w:rsidRPr="003957BB">
        <w:rPr>
          <w:rFonts w:ascii="Merriweather" w:eastAsia="Times New Roman" w:hAnsi="Merriweather" w:cs="Times New Roman"/>
          <w:i/>
          <w:iCs/>
          <w:color w:val="1E1E1E"/>
          <w:sz w:val="22"/>
          <w:szCs w:val="22"/>
        </w:rPr>
        <w:t>People v. Shade</w:t>
      </w:r>
      <w:r w:rsidRPr="003957BB">
        <w:rPr>
          <w:rFonts w:ascii="Merriweather" w:eastAsia="Times New Roman" w:hAnsi="Merriweather" w:cs="Times New Roman"/>
          <w:color w:val="1E1E1E"/>
          <w:sz w:val="22"/>
          <w:szCs w:val="22"/>
        </w:rPr>
        <w:t> (1986) </w:t>
      </w:r>
      <w:hyperlink r:id="rId38" w:history="1">
        <w:r w:rsidRPr="003957BB">
          <w:rPr>
            <w:rFonts w:ascii="Merriweather" w:eastAsia="Times New Roman" w:hAnsi="Merriweather" w:cs="Times New Roman"/>
            <w:color w:val="00528B"/>
            <w:sz w:val="22"/>
            <w:szCs w:val="22"/>
            <w:u w:val="single"/>
          </w:rPr>
          <w:t>185 Cal.App.3d 711</w:t>
        </w:r>
      </w:hyperlink>
      <w:r w:rsidRPr="003957BB">
        <w:rPr>
          <w:rFonts w:ascii="Merriweather" w:eastAsia="Times New Roman" w:hAnsi="Merriweather" w:cs="Times New Roman"/>
          <w:color w:val="1E1E1E"/>
          <w:sz w:val="22"/>
          <w:szCs w:val="22"/>
        </w:rPr>
        <w:t>, 715.)</w:t>
      </w:r>
    </w:p>
    <w:p w14:paraId="6D2A1203"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II. Sentencing Issues</w:t>
      </w:r>
    </w:p>
    <w:p w14:paraId="0201DDD4"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A. </w:t>
      </w:r>
      <w:r w:rsidRPr="003957BB">
        <w:rPr>
          <w:rFonts w:ascii="Oswald" w:eastAsia="Times New Roman" w:hAnsi="Oswald" w:cs="Times New Roman"/>
          <w:b/>
          <w:bCs/>
          <w:i/>
          <w:iCs/>
          <w:color w:val="4A4A4A"/>
          <w:spacing w:val="24"/>
          <w:sz w:val="29"/>
          <w:szCs w:val="29"/>
        </w:rPr>
        <w:t>Remand for firearm enhancement</w:t>
      </w:r>
    </w:p>
    <w:p w14:paraId="1CA7AE50"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lastRenderedPageBreak/>
        <w:t xml:space="preserve">In January 2018, our Legislature for the first time granted trial courts the discretion to dismiss firearm enhancements pursuant to section 12022.53. (§ 12022.53, </w:t>
      </w:r>
      <w:proofErr w:type="spellStart"/>
      <w:r w:rsidRPr="003957BB">
        <w:rPr>
          <w:rFonts w:ascii="Merriweather" w:eastAsia="Times New Roman" w:hAnsi="Merriweather" w:cs="Times New Roman"/>
          <w:color w:val="1E1E1E"/>
          <w:sz w:val="22"/>
          <w:szCs w:val="22"/>
        </w:rPr>
        <w:t>subd</w:t>
      </w:r>
      <w:proofErr w:type="spellEnd"/>
      <w:r w:rsidRPr="003957BB">
        <w:rPr>
          <w:rFonts w:ascii="Merriweather" w:eastAsia="Times New Roman" w:hAnsi="Merriweather" w:cs="Times New Roman"/>
          <w:color w:val="1E1E1E"/>
          <w:sz w:val="22"/>
          <w:szCs w:val="22"/>
        </w:rPr>
        <w:t>. (h).) This legislation applies retroactively to persons, like defendant, whose convictions are not yet final. (E.g., </w:t>
      </w:r>
      <w:r w:rsidRPr="003957BB">
        <w:rPr>
          <w:rFonts w:ascii="Merriweather" w:eastAsia="Times New Roman" w:hAnsi="Merriweather" w:cs="Times New Roman"/>
          <w:i/>
          <w:iCs/>
          <w:color w:val="1E1E1E"/>
          <w:sz w:val="22"/>
          <w:szCs w:val="22"/>
        </w:rPr>
        <w:t>People v. Chavez</w:t>
      </w:r>
      <w:r w:rsidRPr="003957BB">
        <w:rPr>
          <w:rFonts w:ascii="Merriweather" w:eastAsia="Times New Roman" w:hAnsi="Merriweather" w:cs="Times New Roman"/>
          <w:color w:val="1E1E1E"/>
          <w:sz w:val="22"/>
          <w:szCs w:val="22"/>
        </w:rPr>
        <w:t> (2018) 22 Cal.App.5th 663, 712 (</w:t>
      </w:r>
      <w:r w:rsidRPr="003957BB">
        <w:rPr>
          <w:rFonts w:ascii="Merriweather" w:eastAsia="Times New Roman" w:hAnsi="Merriweather" w:cs="Times New Roman"/>
          <w:i/>
          <w:iCs/>
          <w:color w:val="1E1E1E"/>
          <w:sz w:val="22"/>
          <w:szCs w:val="22"/>
        </w:rPr>
        <w:t>Chavez</w:t>
      </w:r>
      <w:r w:rsidRPr="003957BB">
        <w:rPr>
          <w:rFonts w:ascii="Merriweather" w:eastAsia="Times New Roman" w:hAnsi="Merriweather" w:cs="Times New Roman"/>
          <w:color w:val="1E1E1E"/>
          <w:sz w:val="22"/>
          <w:szCs w:val="22"/>
        </w:rPr>
        <w:t>).) Because the trial court sentenced defendant several months </w:t>
      </w:r>
      <w:r w:rsidRPr="003957BB">
        <w:rPr>
          <w:rFonts w:ascii="Merriweather" w:eastAsia="Times New Roman" w:hAnsi="Merriweather" w:cs="Times New Roman"/>
          <w:i/>
          <w:iCs/>
          <w:color w:val="1E1E1E"/>
          <w:sz w:val="22"/>
          <w:szCs w:val="22"/>
        </w:rPr>
        <w:t>after</w:t>
      </w:r>
      <w:r w:rsidRPr="003957BB">
        <w:rPr>
          <w:rFonts w:ascii="Merriweather" w:eastAsia="Times New Roman" w:hAnsi="Merriweather" w:cs="Times New Roman"/>
          <w:color w:val="1E1E1E"/>
          <w:sz w:val="22"/>
          <w:szCs w:val="22"/>
        </w:rPr>
        <w:t> the amendments to section 12022.53 took effect and because "[t]he general rule is that a trial court is presumed to have been aware of and followed the applicable law" (</w:t>
      </w:r>
      <w:r w:rsidRPr="003957BB">
        <w:rPr>
          <w:rFonts w:ascii="Merriweather" w:eastAsia="Times New Roman" w:hAnsi="Merriweather" w:cs="Times New Roman"/>
          <w:i/>
          <w:iCs/>
          <w:color w:val="1E1E1E"/>
          <w:sz w:val="22"/>
          <w:szCs w:val="22"/>
        </w:rPr>
        <w:t>People v. Mosley</w:t>
      </w:r>
      <w:r w:rsidRPr="003957BB">
        <w:rPr>
          <w:rFonts w:ascii="Merriweather" w:eastAsia="Times New Roman" w:hAnsi="Merriweather" w:cs="Times New Roman"/>
          <w:color w:val="1E1E1E"/>
          <w:sz w:val="22"/>
          <w:szCs w:val="22"/>
        </w:rPr>
        <w:t> (1997) </w:t>
      </w:r>
      <w:hyperlink r:id="rId39" w:history="1">
        <w:r w:rsidRPr="003957BB">
          <w:rPr>
            <w:rFonts w:ascii="Merriweather" w:eastAsia="Times New Roman" w:hAnsi="Merriweather" w:cs="Times New Roman"/>
            <w:color w:val="00528B"/>
            <w:sz w:val="22"/>
            <w:szCs w:val="22"/>
            <w:u w:val="single"/>
          </w:rPr>
          <w:t>53 Cal.App.4th 489</w:t>
        </w:r>
      </w:hyperlink>
      <w:r w:rsidRPr="003957BB">
        <w:rPr>
          <w:rFonts w:ascii="Merriweather" w:eastAsia="Times New Roman" w:hAnsi="Merriweather" w:cs="Times New Roman"/>
          <w:color w:val="1E1E1E"/>
          <w:sz w:val="22"/>
          <w:szCs w:val="22"/>
        </w:rPr>
        <w:t>, 496), the trial court's silence on whether it was aware of its newly conferred discretion and why it elected not to exercise it is, by itself, not enough to disturb the court's ruling. However, where that silence is accompanied by indications in the record that the court misunderstood its discretion, silence cannot be equated with the proper exercise of discretion. (</w:t>
      </w:r>
      <w:r w:rsidRPr="003957BB">
        <w:rPr>
          <w:rFonts w:ascii="Merriweather" w:eastAsia="Times New Roman" w:hAnsi="Merriweather" w:cs="Times New Roman"/>
          <w:i/>
          <w:iCs/>
          <w:color w:val="1E1E1E"/>
          <w:sz w:val="22"/>
          <w:szCs w:val="22"/>
        </w:rPr>
        <w:t>People v. Carmony</w:t>
      </w:r>
      <w:r w:rsidRPr="003957BB">
        <w:rPr>
          <w:rFonts w:ascii="Merriweather" w:eastAsia="Times New Roman" w:hAnsi="Merriweather" w:cs="Times New Roman"/>
          <w:color w:val="1E1E1E"/>
          <w:sz w:val="22"/>
          <w:szCs w:val="22"/>
        </w:rPr>
        <w:t> (2004) </w:t>
      </w:r>
      <w:hyperlink r:id="rId40" w:history="1">
        <w:r w:rsidRPr="003957BB">
          <w:rPr>
            <w:rFonts w:ascii="Merriweather" w:eastAsia="Times New Roman" w:hAnsi="Merriweather" w:cs="Times New Roman"/>
            <w:color w:val="00528B"/>
            <w:sz w:val="22"/>
            <w:szCs w:val="22"/>
            <w:u w:val="single"/>
          </w:rPr>
          <w:t>33 Cal.4th 367</w:t>
        </w:r>
      </w:hyperlink>
      <w:r w:rsidRPr="003957BB">
        <w:rPr>
          <w:rFonts w:ascii="Merriweather" w:eastAsia="Times New Roman" w:hAnsi="Merriweather" w:cs="Times New Roman"/>
          <w:color w:val="1E1E1E"/>
          <w:sz w:val="22"/>
          <w:szCs w:val="22"/>
        </w:rPr>
        <w:t>, 378 ["an abuse of discretion occurs where the trial court was not `aware of its discretion'"]; </w:t>
      </w:r>
      <w:r w:rsidRPr="003957BB">
        <w:rPr>
          <w:rFonts w:ascii="Merriweather" w:eastAsia="Times New Roman" w:hAnsi="Merriweather" w:cs="Times New Roman"/>
          <w:i/>
          <w:iCs/>
          <w:color w:val="1E1E1E"/>
          <w:sz w:val="22"/>
          <w:szCs w:val="22"/>
        </w:rPr>
        <w:t>People v. Davis</w:t>
      </w:r>
      <w:r w:rsidRPr="003957BB">
        <w:rPr>
          <w:rFonts w:ascii="Merriweather" w:eastAsia="Times New Roman" w:hAnsi="Merriweather" w:cs="Times New Roman"/>
          <w:color w:val="1E1E1E"/>
          <w:sz w:val="22"/>
          <w:szCs w:val="22"/>
        </w:rPr>
        <w:t> (1996) </w:t>
      </w:r>
      <w:hyperlink r:id="rId41" w:history="1">
        <w:r w:rsidRPr="003957BB">
          <w:rPr>
            <w:rFonts w:ascii="Merriweather" w:eastAsia="Times New Roman" w:hAnsi="Merriweather" w:cs="Times New Roman"/>
            <w:color w:val="00528B"/>
            <w:sz w:val="22"/>
            <w:szCs w:val="22"/>
            <w:u w:val="single"/>
          </w:rPr>
          <w:t>50 Cal.App.4th 168</w:t>
        </w:r>
      </w:hyperlink>
      <w:r w:rsidRPr="003957BB">
        <w:rPr>
          <w:rFonts w:ascii="Merriweather" w:eastAsia="Times New Roman" w:hAnsi="Merriweather" w:cs="Times New Roman"/>
          <w:color w:val="1E1E1E"/>
          <w:sz w:val="22"/>
          <w:szCs w:val="22"/>
        </w:rPr>
        <w:t>, 172 [error may exist where party "affirmatively demonstrate[s] error on the face of the record"].) In this case, the People's written sentencing memorandum said nothing about the amendment to section 12022.53, but the prosecutor argued during the sentencing hearing that "it is discretionary with the court for the gang and the gun allegation." The court then told the prosecutor that he was wrong in arguing that the court had the discretion to sentence on </w:t>
      </w:r>
      <w:r w:rsidRPr="003957BB">
        <w:rPr>
          <w:rFonts w:ascii="Merriweather" w:eastAsia="Times New Roman" w:hAnsi="Merriweather" w:cs="Times New Roman"/>
          <w:i/>
          <w:iCs/>
          <w:color w:val="1E1E1E"/>
          <w:sz w:val="22"/>
          <w:szCs w:val="22"/>
        </w:rPr>
        <w:t>both</w:t>
      </w:r>
      <w:r w:rsidRPr="003957BB">
        <w:rPr>
          <w:rFonts w:ascii="Merriweather" w:eastAsia="Times New Roman" w:hAnsi="Merriweather" w:cs="Times New Roman"/>
          <w:color w:val="1E1E1E"/>
          <w:sz w:val="22"/>
          <w:szCs w:val="22"/>
        </w:rPr>
        <w:t> the gang and gun allegation because the court could impose only one of the two. However, and as the People argue on appeal, the trial court's understanding was </w:t>
      </w:r>
      <w:r w:rsidRPr="003957BB">
        <w:rPr>
          <w:rFonts w:ascii="Merriweather" w:eastAsia="Times New Roman" w:hAnsi="Merriweather" w:cs="Times New Roman"/>
          <w:i/>
          <w:iCs/>
          <w:color w:val="1E1E1E"/>
          <w:sz w:val="22"/>
          <w:szCs w:val="22"/>
        </w:rPr>
        <w:t>itself</w:t>
      </w:r>
      <w:r w:rsidRPr="003957BB">
        <w:rPr>
          <w:rFonts w:ascii="Merriweather" w:eastAsia="Times New Roman" w:hAnsi="Merriweather" w:cs="Times New Roman"/>
          <w:color w:val="1E1E1E"/>
          <w:sz w:val="22"/>
          <w:szCs w:val="22"/>
        </w:rPr>
        <w:t> wrong because defendant personally used the firearm. (</w:t>
      </w:r>
      <w:r w:rsidRPr="003957BB">
        <w:rPr>
          <w:rFonts w:ascii="Merriweather" w:eastAsia="Times New Roman" w:hAnsi="Merriweather" w:cs="Times New Roman"/>
          <w:i/>
          <w:iCs/>
          <w:color w:val="1E1E1E"/>
          <w:sz w:val="22"/>
          <w:szCs w:val="22"/>
        </w:rPr>
        <w:t>People v. Brookfield</w:t>
      </w:r>
      <w:r w:rsidRPr="003957BB">
        <w:rPr>
          <w:rFonts w:ascii="Merriweather" w:eastAsia="Times New Roman" w:hAnsi="Merriweather" w:cs="Times New Roman"/>
          <w:color w:val="1E1E1E"/>
          <w:sz w:val="22"/>
          <w:szCs w:val="22"/>
        </w:rPr>
        <w:t> (2009) </w:t>
      </w:r>
      <w:hyperlink r:id="rId42" w:history="1">
        <w:r w:rsidRPr="003957BB">
          <w:rPr>
            <w:rFonts w:ascii="Merriweather" w:eastAsia="Times New Roman" w:hAnsi="Merriweather" w:cs="Times New Roman"/>
            <w:color w:val="00528B"/>
            <w:sz w:val="22"/>
            <w:szCs w:val="22"/>
            <w:u w:val="single"/>
          </w:rPr>
          <w:t>47 Cal.4th 583</w:t>
        </w:r>
      </w:hyperlink>
      <w:r w:rsidRPr="003957BB">
        <w:rPr>
          <w:rFonts w:ascii="Merriweather" w:eastAsia="Times New Roman" w:hAnsi="Merriweather" w:cs="Times New Roman"/>
          <w:color w:val="1E1E1E"/>
          <w:sz w:val="22"/>
          <w:szCs w:val="22"/>
        </w:rPr>
        <w:t>, 590.) This confusion regarding the existence and scope of the trial court's discretion vis-à-vis </w:t>
      </w:r>
      <w:r w:rsidRPr="003957BB">
        <w:rPr>
          <w:rFonts w:ascii="Merriweather" w:eastAsia="Times New Roman" w:hAnsi="Merriweather" w:cs="Times New Roman"/>
          <w:i/>
          <w:iCs/>
          <w:color w:val="1E1E1E"/>
          <w:sz w:val="22"/>
          <w:szCs w:val="22"/>
        </w:rPr>
        <w:t>both</w:t>
      </w:r>
      <w:r w:rsidRPr="003957BB">
        <w:rPr>
          <w:rFonts w:ascii="Merriweather" w:eastAsia="Times New Roman" w:hAnsi="Merriweather" w:cs="Times New Roman"/>
          <w:color w:val="1E1E1E"/>
          <w:sz w:val="22"/>
          <w:szCs w:val="22"/>
        </w:rPr>
        <w:t xml:space="preserve"> enhancements </w:t>
      </w:r>
      <w:proofErr w:type="gramStart"/>
      <w:r w:rsidRPr="003957BB">
        <w:rPr>
          <w:rFonts w:ascii="Merriweather" w:eastAsia="Times New Roman" w:hAnsi="Merriweather" w:cs="Times New Roman"/>
          <w:color w:val="1E1E1E"/>
          <w:sz w:val="22"/>
          <w:szCs w:val="22"/>
        </w:rPr>
        <w:t>undermines</w:t>
      </w:r>
      <w:proofErr w:type="gramEnd"/>
      <w:r w:rsidRPr="003957BB">
        <w:rPr>
          <w:rFonts w:ascii="Merriweather" w:eastAsia="Times New Roman" w:hAnsi="Merriweather" w:cs="Times New Roman"/>
          <w:color w:val="1E1E1E"/>
          <w:sz w:val="22"/>
          <w:szCs w:val="22"/>
        </w:rPr>
        <w:t xml:space="preserve"> our confidence that the trial court's silence regarding the section 12022.53 enhancement reflected a proper exercise of its discretion. Further, because "the record [does not] `clearly </w:t>
      </w:r>
      <w:proofErr w:type="gramStart"/>
      <w:r w:rsidRPr="003957BB">
        <w:rPr>
          <w:rFonts w:ascii="Merriweather" w:eastAsia="Times New Roman" w:hAnsi="Merriweather" w:cs="Times New Roman"/>
          <w:color w:val="1E1E1E"/>
          <w:sz w:val="22"/>
          <w:szCs w:val="22"/>
        </w:rPr>
        <w:t>indicate[</w:t>
      </w:r>
      <w:proofErr w:type="gramEnd"/>
      <w:r w:rsidRPr="003957BB">
        <w:rPr>
          <w:rFonts w:ascii="Merriweather" w:eastAsia="Times New Roman" w:hAnsi="Merriweather" w:cs="Times New Roman"/>
          <w:color w:val="1E1E1E"/>
          <w:sz w:val="22"/>
          <w:szCs w:val="22"/>
        </w:rPr>
        <w:t>]' that the trial court would have reached the same conclusion `even if it had been aware that it had such discretion'" (</w:t>
      </w:r>
      <w:r w:rsidRPr="003957BB">
        <w:rPr>
          <w:rFonts w:ascii="Merriweather" w:eastAsia="Times New Roman" w:hAnsi="Merriweather" w:cs="Times New Roman"/>
          <w:i/>
          <w:iCs/>
          <w:color w:val="1E1E1E"/>
          <w:sz w:val="22"/>
          <w:szCs w:val="22"/>
        </w:rPr>
        <w:t>Chavez,</w:t>
      </w:r>
      <w:r w:rsidRPr="003957BB">
        <w:rPr>
          <w:rFonts w:ascii="Merriweather" w:eastAsia="Times New Roman" w:hAnsi="Merriweather" w:cs="Times New Roman"/>
          <w:color w:val="1E1E1E"/>
          <w:sz w:val="22"/>
          <w:szCs w:val="22"/>
        </w:rPr>
        <w:t> at p. 713; </w:t>
      </w:r>
      <w:r w:rsidRPr="003957BB">
        <w:rPr>
          <w:rFonts w:ascii="Merriweather" w:eastAsia="Times New Roman" w:hAnsi="Merriweather" w:cs="Times New Roman"/>
          <w:i/>
          <w:iCs/>
          <w:color w:val="1E1E1E"/>
          <w:sz w:val="22"/>
          <w:szCs w:val="22"/>
        </w:rPr>
        <w:t xml:space="preserve">People v. </w:t>
      </w:r>
      <w:proofErr w:type="spellStart"/>
      <w:r w:rsidRPr="003957BB">
        <w:rPr>
          <w:rFonts w:ascii="Merriweather" w:eastAsia="Times New Roman" w:hAnsi="Merriweather" w:cs="Times New Roman"/>
          <w:i/>
          <w:iCs/>
          <w:color w:val="1E1E1E"/>
          <w:sz w:val="22"/>
          <w:szCs w:val="22"/>
        </w:rPr>
        <w:t>McDaniels</w:t>
      </w:r>
      <w:proofErr w:type="spellEnd"/>
      <w:r w:rsidRPr="003957BB">
        <w:rPr>
          <w:rFonts w:ascii="Merriweather" w:eastAsia="Times New Roman" w:hAnsi="Merriweather" w:cs="Times New Roman"/>
          <w:color w:val="1E1E1E"/>
          <w:sz w:val="22"/>
          <w:szCs w:val="22"/>
        </w:rPr>
        <w:t> (2018) 22 Cal.App.5th 420, 425), defendant is entitled to a remand.</w:t>
      </w:r>
    </w:p>
    <w:p w14:paraId="67D6F18E"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B. </w:t>
      </w:r>
      <w:r w:rsidRPr="003957BB">
        <w:rPr>
          <w:rFonts w:ascii="Oswald" w:eastAsia="Times New Roman" w:hAnsi="Oswald" w:cs="Times New Roman"/>
          <w:b/>
          <w:bCs/>
          <w:i/>
          <w:iCs/>
          <w:color w:val="4A4A4A"/>
          <w:spacing w:val="24"/>
          <w:sz w:val="29"/>
          <w:szCs w:val="29"/>
        </w:rPr>
        <w:t>Fines and restitution</w:t>
      </w:r>
    </w:p>
    <w:p w14:paraId="3BFDB1CC"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Defendant argues that </w:t>
      </w:r>
      <w:r w:rsidRPr="003957BB">
        <w:rPr>
          <w:rFonts w:ascii="Merriweather" w:eastAsia="Times New Roman" w:hAnsi="Merriweather" w:cs="Times New Roman"/>
          <w:i/>
          <w:iCs/>
          <w:color w:val="1E1E1E"/>
          <w:sz w:val="22"/>
          <w:szCs w:val="22"/>
        </w:rPr>
        <w:t>People v. Duenas</w:t>
      </w:r>
      <w:r w:rsidRPr="003957BB">
        <w:rPr>
          <w:rFonts w:ascii="Merriweather" w:eastAsia="Times New Roman" w:hAnsi="Merriweather" w:cs="Times New Roman"/>
          <w:color w:val="1E1E1E"/>
          <w:sz w:val="22"/>
          <w:szCs w:val="22"/>
        </w:rPr>
        <w:t> (2019) 30 Cal.App.5th 1157 (</w:t>
      </w:r>
      <w:r w:rsidRPr="003957BB">
        <w:rPr>
          <w:rFonts w:ascii="Merriweather" w:eastAsia="Times New Roman" w:hAnsi="Merriweather" w:cs="Times New Roman"/>
          <w:i/>
          <w:iCs/>
          <w:color w:val="1E1E1E"/>
          <w:sz w:val="22"/>
          <w:szCs w:val="22"/>
        </w:rPr>
        <w:t>Duenas</w:t>
      </w:r>
      <w:r w:rsidRPr="003957BB">
        <w:rPr>
          <w:rFonts w:ascii="Merriweather" w:eastAsia="Times New Roman" w:hAnsi="Merriweather" w:cs="Times New Roman"/>
          <w:color w:val="1E1E1E"/>
          <w:sz w:val="22"/>
          <w:szCs w:val="22"/>
        </w:rPr>
        <w:t xml:space="preserve">) requires us to vacate </w:t>
      </w:r>
      <w:proofErr w:type="gramStart"/>
      <w:r w:rsidRPr="003957BB">
        <w:rPr>
          <w:rFonts w:ascii="Merriweather" w:eastAsia="Times New Roman" w:hAnsi="Merriweather" w:cs="Times New Roman"/>
          <w:color w:val="1E1E1E"/>
          <w:sz w:val="22"/>
          <w:szCs w:val="22"/>
        </w:rPr>
        <w:t>all of</w:t>
      </w:r>
      <w:proofErr w:type="gramEnd"/>
      <w:r w:rsidRPr="003957BB">
        <w:rPr>
          <w:rFonts w:ascii="Merriweather" w:eastAsia="Times New Roman" w:hAnsi="Merriweather" w:cs="Times New Roman"/>
          <w:color w:val="1E1E1E"/>
          <w:sz w:val="22"/>
          <w:szCs w:val="22"/>
        </w:rPr>
        <w:t xml:space="preserve"> his restitution, fines and fees. He is wrong.</w:t>
      </w:r>
    </w:p>
    <w:p w14:paraId="0E9AB774"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1. </w:t>
      </w:r>
      <w:r w:rsidRPr="003957BB">
        <w:rPr>
          <w:rFonts w:ascii="Oswald" w:eastAsia="Times New Roman" w:hAnsi="Oswald" w:cs="Times New Roman"/>
          <w:b/>
          <w:bCs/>
          <w:i/>
          <w:iCs/>
          <w:color w:val="4A4A4A"/>
          <w:spacing w:val="24"/>
          <w:sz w:val="29"/>
          <w:szCs w:val="29"/>
        </w:rPr>
        <w:t>Direct restitution</w:t>
      </w:r>
    </w:p>
    <w:p w14:paraId="607C9689"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i/>
          <w:iCs/>
          <w:color w:val="1E1E1E"/>
          <w:sz w:val="22"/>
          <w:szCs w:val="22"/>
        </w:rPr>
        <w:lastRenderedPageBreak/>
        <w:t>Duenas</w:t>
      </w:r>
      <w:r w:rsidRPr="003957BB">
        <w:rPr>
          <w:rFonts w:ascii="Merriweather" w:eastAsia="Times New Roman" w:hAnsi="Merriweather" w:cs="Times New Roman"/>
          <w:color w:val="1E1E1E"/>
          <w:sz w:val="22"/>
          <w:szCs w:val="22"/>
        </w:rPr>
        <w:t xml:space="preserve"> does not call into question the trial court's imposition of $19,563.70 in direct restitution—that is, $12,563.70 to the </w:t>
      </w:r>
      <w:proofErr w:type="spellStart"/>
      <w:r w:rsidRPr="003957BB">
        <w:rPr>
          <w:rFonts w:ascii="Merriweather" w:eastAsia="Times New Roman" w:hAnsi="Merriweather" w:cs="Times New Roman"/>
          <w:color w:val="1E1E1E"/>
          <w:sz w:val="22"/>
          <w:szCs w:val="22"/>
        </w:rPr>
        <w:t>Mationg</w:t>
      </w:r>
      <w:proofErr w:type="spellEnd"/>
      <w:r w:rsidRPr="003957BB">
        <w:rPr>
          <w:rFonts w:ascii="Merriweather" w:eastAsia="Times New Roman" w:hAnsi="Merriweather" w:cs="Times New Roman"/>
          <w:color w:val="1E1E1E"/>
          <w:sz w:val="22"/>
          <w:szCs w:val="22"/>
        </w:rPr>
        <w:t xml:space="preserve"> family and $7,000 to the Victim Compensation Board "to reimburse payments" previously made to the </w:t>
      </w:r>
      <w:proofErr w:type="spellStart"/>
      <w:r w:rsidRPr="003957BB">
        <w:rPr>
          <w:rFonts w:ascii="Merriweather" w:eastAsia="Times New Roman" w:hAnsi="Merriweather" w:cs="Times New Roman"/>
          <w:color w:val="1E1E1E"/>
          <w:sz w:val="22"/>
          <w:szCs w:val="22"/>
        </w:rPr>
        <w:t>Mationgs</w:t>
      </w:r>
      <w:proofErr w:type="spellEnd"/>
      <w:r w:rsidRPr="003957BB">
        <w:rPr>
          <w:rFonts w:ascii="Merriweather" w:eastAsia="Times New Roman" w:hAnsi="Merriweather" w:cs="Times New Roman"/>
          <w:color w:val="1E1E1E"/>
          <w:sz w:val="22"/>
          <w:szCs w:val="22"/>
        </w:rPr>
        <w:t>. That is because the issue of "[d]</w:t>
      </w:r>
      <w:proofErr w:type="spellStart"/>
      <w:r w:rsidRPr="003957BB">
        <w:rPr>
          <w:rFonts w:ascii="Merriweather" w:eastAsia="Times New Roman" w:hAnsi="Merriweather" w:cs="Times New Roman"/>
          <w:color w:val="1E1E1E"/>
          <w:sz w:val="22"/>
          <w:szCs w:val="22"/>
        </w:rPr>
        <w:t>irect</w:t>
      </w:r>
      <w:proofErr w:type="spellEnd"/>
      <w:r w:rsidRPr="003957BB">
        <w:rPr>
          <w:rFonts w:ascii="Merriweather" w:eastAsia="Times New Roman" w:hAnsi="Merriweather" w:cs="Times New Roman"/>
          <w:color w:val="1E1E1E"/>
          <w:sz w:val="22"/>
          <w:szCs w:val="22"/>
        </w:rPr>
        <w:t xml:space="preserve"> victim restitution" was, in </w:t>
      </w:r>
      <w:r w:rsidRPr="003957BB">
        <w:rPr>
          <w:rFonts w:ascii="Merriweather" w:eastAsia="Times New Roman" w:hAnsi="Merriweather" w:cs="Times New Roman"/>
          <w:i/>
          <w:iCs/>
          <w:color w:val="1E1E1E"/>
          <w:sz w:val="22"/>
          <w:szCs w:val="22"/>
        </w:rPr>
        <w:t>Duenas</w:t>
      </w:r>
      <w:r w:rsidRPr="003957BB">
        <w:rPr>
          <w:rFonts w:ascii="Merriweather" w:eastAsia="Times New Roman" w:hAnsi="Merriweather" w:cs="Times New Roman"/>
          <w:color w:val="1E1E1E"/>
          <w:sz w:val="22"/>
          <w:szCs w:val="22"/>
        </w:rPr>
        <w:t>'s own words, "not at issue" in that case. (</w:t>
      </w:r>
      <w:r w:rsidRPr="003957BB">
        <w:rPr>
          <w:rFonts w:ascii="Merriweather" w:eastAsia="Times New Roman" w:hAnsi="Merriweather" w:cs="Times New Roman"/>
          <w:i/>
          <w:iCs/>
          <w:color w:val="1E1E1E"/>
          <w:sz w:val="22"/>
          <w:szCs w:val="22"/>
        </w:rPr>
        <w:t>Id.</w:t>
      </w:r>
      <w:r w:rsidRPr="003957BB">
        <w:rPr>
          <w:rFonts w:ascii="Merriweather" w:eastAsia="Times New Roman" w:hAnsi="Merriweather" w:cs="Times New Roman"/>
          <w:color w:val="1E1E1E"/>
          <w:sz w:val="22"/>
          <w:szCs w:val="22"/>
        </w:rPr>
        <w:t xml:space="preserve"> at p. 1169.) What is more, defendant waived any objection to this amount because he had a statutory right to contest the amount of restitution (§ 1202.4, </w:t>
      </w:r>
      <w:proofErr w:type="spellStart"/>
      <w:r w:rsidRPr="003957BB">
        <w:rPr>
          <w:rFonts w:ascii="Merriweather" w:eastAsia="Times New Roman" w:hAnsi="Merriweather" w:cs="Times New Roman"/>
          <w:color w:val="1E1E1E"/>
          <w:sz w:val="22"/>
          <w:szCs w:val="22"/>
        </w:rPr>
        <w:t>subd</w:t>
      </w:r>
      <w:proofErr w:type="spellEnd"/>
      <w:r w:rsidRPr="003957BB">
        <w:rPr>
          <w:rFonts w:ascii="Merriweather" w:eastAsia="Times New Roman" w:hAnsi="Merriweather" w:cs="Times New Roman"/>
          <w:color w:val="1E1E1E"/>
          <w:sz w:val="22"/>
          <w:szCs w:val="22"/>
        </w:rPr>
        <w:t xml:space="preserve">. (f)(1)) and, rather than exercising that right, told the court that the direct restitution amounts "all </w:t>
      </w:r>
      <w:proofErr w:type="gramStart"/>
      <w:r w:rsidRPr="003957BB">
        <w:rPr>
          <w:rFonts w:ascii="Merriweather" w:eastAsia="Times New Roman" w:hAnsi="Merriweather" w:cs="Times New Roman"/>
          <w:color w:val="1E1E1E"/>
          <w:sz w:val="22"/>
          <w:szCs w:val="22"/>
        </w:rPr>
        <w:t>seem[</w:t>
      </w:r>
      <w:proofErr w:type="gramEnd"/>
      <w:r w:rsidRPr="003957BB">
        <w:rPr>
          <w:rFonts w:ascii="Merriweather" w:eastAsia="Times New Roman" w:hAnsi="Merriweather" w:cs="Times New Roman"/>
          <w:color w:val="1E1E1E"/>
          <w:sz w:val="22"/>
          <w:szCs w:val="22"/>
        </w:rPr>
        <w:t>] very legitimate" and went on to "stipulate to that amount." This constitutes a waiver. (</w:t>
      </w:r>
      <w:r w:rsidRPr="003957BB">
        <w:rPr>
          <w:rFonts w:ascii="Merriweather" w:eastAsia="Times New Roman" w:hAnsi="Merriweather" w:cs="Times New Roman"/>
          <w:i/>
          <w:iCs/>
          <w:color w:val="1E1E1E"/>
          <w:sz w:val="22"/>
          <w:szCs w:val="22"/>
        </w:rPr>
        <w:t>People v. Case</w:t>
      </w:r>
      <w:r w:rsidRPr="003957BB">
        <w:rPr>
          <w:rFonts w:ascii="Merriweather" w:eastAsia="Times New Roman" w:hAnsi="Merriweather" w:cs="Times New Roman"/>
          <w:color w:val="1E1E1E"/>
          <w:sz w:val="22"/>
          <w:szCs w:val="22"/>
        </w:rPr>
        <w:t> (2018) 5 Cal.5th 1, 53 [so holding].)</w:t>
      </w:r>
    </w:p>
    <w:p w14:paraId="26A7E4DB"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2. </w:t>
      </w:r>
      <w:r w:rsidRPr="003957BB">
        <w:rPr>
          <w:rFonts w:ascii="Oswald" w:eastAsia="Times New Roman" w:hAnsi="Oswald" w:cs="Times New Roman"/>
          <w:b/>
          <w:bCs/>
          <w:i/>
          <w:iCs/>
          <w:color w:val="4A4A4A"/>
          <w:spacing w:val="24"/>
          <w:sz w:val="29"/>
          <w:szCs w:val="29"/>
        </w:rPr>
        <w:t>Restitution fines and fees</w:t>
      </w:r>
    </w:p>
    <w:p w14:paraId="12036C4B"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Citing the constitutional guarantees of due process and excessive fines, </w:t>
      </w:r>
      <w:r w:rsidRPr="003957BB">
        <w:rPr>
          <w:rFonts w:ascii="Merriweather" w:eastAsia="Times New Roman" w:hAnsi="Merriweather" w:cs="Times New Roman"/>
          <w:i/>
          <w:iCs/>
          <w:color w:val="1E1E1E"/>
          <w:sz w:val="22"/>
          <w:szCs w:val="22"/>
        </w:rPr>
        <w:t>Duenas</w:t>
      </w:r>
      <w:r w:rsidRPr="003957BB">
        <w:rPr>
          <w:rFonts w:ascii="Merriweather" w:eastAsia="Times New Roman" w:hAnsi="Merriweather" w:cs="Times New Roman"/>
          <w:color w:val="1E1E1E"/>
          <w:sz w:val="22"/>
          <w:szCs w:val="22"/>
        </w:rPr>
        <w:t> held that trial courts may not impose three of the standard criminal assessments and fines—namely, the $40 court operations assessment (§ 1465.8), the $30 criminal convictions assessment (Gov. Code, § 70373), and the $300 minimum restitution fine (§ 1202.4)—without first ascertaining the "defendant's present ability to pay." (</w:t>
      </w:r>
      <w:r w:rsidRPr="003957BB">
        <w:rPr>
          <w:rFonts w:ascii="Merriweather" w:eastAsia="Times New Roman" w:hAnsi="Merriweather" w:cs="Times New Roman"/>
          <w:i/>
          <w:iCs/>
          <w:color w:val="1E1E1E"/>
          <w:sz w:val="22"/>
          <w:szCs w:val="22"/>
        </w:rPr>
        <w:t>Duenas,</w:t>
      </w:r>
      <w:r w:rsidRPr="003957BB">
        <w:rPr>
          <w:rFonts w:ascii="Merriweather" w:eastAsia="Times New Roman" w:hAnsi="Merriweather" w:cs="Times New Roman"/>
          <w:color w:val="1E1E1E"/>
          <w:sz w:val="22"/>
          <w:szCs w:val="22"/>
        </w:rPr>
        <w:t xml:space="preserve"> supra, 30 Cal.App.5th at pp. 1164, 1172, fn. 10.) </w:t>
      </w:r>
      <w:proofErr w:type="gramStart"/>
      <w:r w:rsidRPr="003957BB">
        <w:rPr>
          <w:rFonts w:ascii="Merriweather" w:eastAsia="Times New Roman" w:hAnsi="Merriweather" w:cs="Times New Roman"/>
          <w:color w:val="1E1E1E"/>
          <w:sz w:val="22"/>
          <w:szCs w:val="22"/>
        </w:rPr>
        <w:t>So</w:t>
      </w:r>
      <w:proofErr w:type="gramEnd"/>
      <w:r w:rsidRPr="003957BB">
        <w:rPr>
          <w:rFonts w:ascii="Merriweather" w:eastAsia="Times New Roman" w:hAnsi="Merriweather" w:cs="Times New Roman"/>
          <w:color w:val="1E1E1E"/>
          <w:sz w:val="22"/>
          <w:szCs w:val="22"/>
        </w:rPr>
        <w:t> </w:t>
      </w:r>
      <w:r w:rsidRPr="003957BB">
        <w:rPr>
          <w:rFonts w:ascii="Merriweather" w:eastAsia="Times New Roman" w:hAnsi="Merriweather" w:cs="Times New Roman"/>
          <w:i/>
          <w:iCs/>
          <w:color w:val="1E1E1E"/>
          <w:sz w:val="22"/>
          <w:szCs w:val="22"/>
        </w:rPr>
        <w:t>Duenas</w:t>
      </w:r>
      <w:r w:rsidRPr="003957BB">
        <w:rPr>
          <w:rFonts w:ascii="Merriweather" w:eastAsia="Times New Roman" w:hAnsi="Merriweather" w:cs="Times New Roman"/>
          <w:color w:val="1E1E1E"/>
          <w:sz w:val="22"/>
          <w:szCs w:val="22"/>
        </w:rPr>
        <w:t> applies to the $370 in fines and fees imposed in this case. However, we need not grapple with </w:t>
      </w:r>
      <w:r w:rsidRPr="003957BB">
        <w:rPr>
          <w:rFonts w:ascii="Merriweather" w:eastAsia="Times New Roman" w:hAnsi="Merriweather" w:cs="Times New Roman"/>
          <w:i/>
          <w:iCs/>
          <w:color w:val="1E1E1E"/>
          <w:sz w:val="22"/>
          <w:szCs w:val="22"/>
        </w:rPr>
        <w:t>Duenas</w:t>
      </w:r>
      <w:r w:rsidRPr="003957BB">
        <w:rPr>
          <w:rFonts w:ascii="Merriweather" w:eastAsia="Times New Roman" w:hAnsi="Merriweather" w:cs="Times New Roman"/>
          <w:color w:val="1E1E1E"/>
          <w:sz w:val="22"/>
          <w:szCs w:val="22"/>
        </w:rPr>
        <w:t>'s validity because the record in this case, unlike the record in </w:t>
      </w:r>
      <w:r w:rsidRPr="003957BB">
        <w:rPr>
          <w:rFonts w:ascii="Merriweather" w:eastAsia="Times New Roman" w:hAnsi="Merriweather" w:cs="Times New Roman"/>
          <w:i/>
          <w:iCs/>
          <w:color w:val="1E1E1E"/>
          <w:sz w:val="22"/>
          <w:szCs w:val="22"/>
        </w:rPr>
        <w:t>Duenas</w:t>
      </w:r>
      <w:r w:rsidRPr="003957BB">
        <w:rPr>
          <w:rFonts w:ascii="Merriweather" w:eastAsia="Times New Roman" w:hAnsi="Merriweather" w:cs="Times New Roman"/>
          <w:color w:val="1E1E1E"/>
          <w:sz w:val="22"/>
          <w:szCs w:val="22"/>
        </w:rPr>
        <w:t xml:space="preserve"> itself, indicates that defendant </w:t>
      </w:r>
      <w:proofErr w:type="gramStart"/>
      <w:r w:rsidRPr="003957BB">
        <w:rPr>
          <w:rFonts w:ascii="Merriweather" w:eastAsia="Times New Roman" w:hAnsi="Merriweather" w:cs="Times New Roman"/>
          <w:color w:val="1E1E1E"/>
          <w:sz w:val="22"/>
          <w:szCs w:val="22"/>
        </w:rPr>
        <w:t>has the ability to</w:t>
      </w:r>
      <w:proofErr w:type="gramEnd"/>
      <w:r w:rsidRPr="003957BB">
        <w:rPr>
          <w:rFonts w:ascii="Merriweather" w:eastAsia="Times New Roman" w:hAnsi="Merriweather" w:cs="Times New Roman"/>
          <w:color w:val="1E1E1E"/>
          <w:sz w:val="22"/>
          <w:szCs w:val="22"/>
        </w:rPr>
        <w:t xml:space="preserve"> pay the $370 in assessments in this case. (Cf. </w:t>
      </w:r>
      <w:r w:rsidRPr="003957BB">
        <w:rPr>
          <w:rFonts w:ascii="Merriweather" w:eastAsia="Times New Roman" w:hAnsi="Merriweather" w:cs="Times New Roman"/>
          <w:i/>
          <w:iCs/>
          <w:color w:val="1E1E1E"/>
          <w:sz w:val="22"/>
          <w:szCs w:val="22"/>
        </w:rPr>
        <w:t>People v. Bennett</w:t>
      </w:r>
      <w:r w:rsidRPr="003957BB">
        <w:rPr>
          <w:rFonts w:ascii="Merriweather" w:eastAsia="Times New Roman" w:hAnsi="Merriweather" w:cs="Times New Roman"/>
          <w:color w:val="1E1E1E"/>
          <w:sz w:val="22"/>
          <w:szCs w:val="22"/>
        </w:rPr>
        <w:t> (1981) </w:t>
      </w:r>
      <w:hyperlink r:id="rId43" w:history="1">
        <w:r w:rsidRPr="003957BB">
          <w:rPr>
            <w:rFonts w:ascii="Merriweather" w:eastAsia="Times New Roman" w:hAnsi="Merriweather" w:cs="Times New Roman"/>
            <w:color w:val="00528B"/>
            <w:sz w:val="22"/>
            <w:szCs w:val="22"/>
            <w:u w:val="single"/>
          </w:rPr>
          <w:t>128 Cal.App.3d 354</w:t>
        </w:r>
      </w:hyperlink>
      <w:r w:rsidRPr="003957BB">
        <w:rPr>
          <w:rFonts w:ascii="Merriweather" w:eastAsia="Times New Roman" w:hAnsi="Merriweather" w:cs="Times New Roman"/>
          <w:color w:val="1E1E1E"/>
          <w:sz w:val="22"/>
          <w:szCs w:val="22"/>
        </w:rPr>
        <w:t>, 359-360 [remand for resentencing unnecessary where "the result is a foregone conclusion"].) A defendant's ability to pay includes "the defendant's ability to obtain prison wages and to earn money after his release from custody." (</w:t>
      </w:r>
      <w:r w:rsidRPr="003957BB">
        <w:rPr>
          <w:rFonts w:ascii="Merriweather" w:eastAsia="Times New Roman" w:hAnsi="Merriweather" w:cs="Times New Roman"/>
          <w:i/>
          <w:iCs/>
          <w:color w:val="1E1E1E"/>
          <w:sz w:val="22"/>
          <w:szCs w:val="22"/>
        </w:rPr>
        <w:t>People v. Hennessey</w:t>
      </w:r>
      <w:r w:rsidRPr="003957BB">
        <w:rPr>
          <w:rFonts w:ascii="Merriweather" w:eastAsia="Times New Roman" w:hAnsi="Merriweather" w:cs="Times New Roman"/>
          <w:color w:val="1E1E1E"/>
          <w:sz w:val="22"/>
          <w:szCs w:val="22"/>
        </w:rPr>
        <w:t> (1995) </w:t>
      </w:r>
      <w:hyperlink r:id="rId44" w:history="1">
        <w:r w:rsidRPr="003957BB">
          <w:rPr>
            <w:rFonts w:ascii="Merriweather" w:eastAsia="Times New Roman" w:hAnsi="Merriweather" w:cs="Times New Roman"/>
            <w:color w:val="00528B"/>
            <w:sz w:val="22"/>
            <w:szCs w:val="22"/>
            <w:u w:val="single"/>
          </w:rPr>
          <w:t>37 Cal.App.4th 1830</w:t>
        </w:r>
      </w:hyperlink>
      <w:r w:rsidRPr="003957BB">
        <w:rPr>
          <w:rFonts w:ascii="Merriweather" w:eastAsia="Times New Roman" w:hAnsi="Merriweather" w:cs="Times New Roman"/>
          <w:color w:val="1E1E1E"/>
          <w:sz w:val="22"/>
          <w:szCs w:val="22"/>
        </w:rPr>
        <w:t>, 1837; </w:t>
      </w:r>
      <w:r w:rsidRPr="003957BB">
        <w:rPr>
          <w:rFonts w:ascii="Merriweather" w:eastAsia="Times New Roman" w:hAnsi="Merriweather" w:cs="Times New Roman"/>
          <w:i/>
          <w:iCs/>
          <w:color w:val="1E1E1E"/>
          <w:sz w:val="22"/>
          <w:szCs w:val="22"/>
        </w:rPr>
        <w:t>People v. Gentry</w:t>
      </w:r>
      <w:r w:rsidRPr="003957BB">
        <w:rPr>
          <w:rFonts w:ascii="Merriweather" w:eastAsia="Times New Roman" w:hAnsi="Merriweather" w:cs="Times New Roman"/>
          <w:color w:val="1E1E1E"/>
          <w:sz w:val="22"/>
          <w:szCs w:val="22"/>
        </w:rPr>
        <w:t> (1994) </w:t>
      </w:r>
      <w:hyperlink r:id="rId45" w:history="1">
        <w:r w:rsidRPr="003957BB">
          <w:rPr>
            <w:rFonts w:ascii="Merriweather" w:eastAsia="Times New Roman" w:hAnsi="Merriweather" w:cs="Times New Roman"/>
            <w:color w:val="00528B"/>
            <w:sz w:val="22"/>
            <w:szCs w:val="22"/>
            <w:u w:val="single"/>
          </w:rPr>
          <w:t>28 Cal.App.4th 1374</w:t>
        </w:r>
      </w:hyperlink>
      <w:r w:rsidRPr="003957BB">
        <w:rPr>
          <w:rFonts w:ascii="Merriweather" w:eastAsia="Times New Roman" w:hAnsi="Merriweather" w:cs="Times New Roman"/>
          <w:color w:val="1E1E1E"/>
          <w:sz w:val="22"/>
          <w:szCs w:val="22"/>
        </w:rPr>
        <w:t xml:space="preserve">, 1376-1377.) Prisoners earn wages of at least $12 per month). (Dept. of Corrections, Operations Manual, §§ 51120.6, 51121.10 (2019).) At even this minimum rate, defendant will have enough to pay the $370 in assessments and fines in 31 months, which is long before his </w:t>
      </w:r>
      <w:proofErr w:type="gramStart"/>
      <w:r w:rsidRPr="003957BB">
        <w:rPr>
          <w:rFonts w:ascii="Merriweather" w:eastAsia="Times New Roman" w:hAnsi="Merriweather" w:cs="Times New Roman"/>
          <w:color w:val="1E1E1E"/>
          <w:sz w:val="22"/>
          <w:szCs w:val="22"/>
        </w:rPr>
        <w:t>40 year</w:t>
      </w:r>
      <w:proofErr w:type="gramEnd"/>
      <w:r w:rsidRPr="003957BB">
        <w:rPr>
          <w:rFonts w:ascii="Merriweather" w:eastAsia="Times New Roman" w:hAnsi="Merriweather" w:cs="Times New Roman"/>
          <w:color w:val="1E1E1E"/>
          <w:sz w:val="22"/>
          <w:szCs w:val="22"/>
        </w:rPr>
        <w:t xml:space="preserve"> sentence would end (or, if the trial court elects to strike the 25-year firearm enhancement or to impose a lesser firearm enhancement, before his lesser sentence would end). Even if defendant does not voluntarily use his wages to pay the amounts due, the state may garnish between 20 and 50 percent of those wages to pay the restitution fine. (§ 2085.5, </w:t>
      </w:r>
      <w:proofErr w:type="spellStart"/>
      <w:r w:rsidRPr="003957BB">
        <w:rPr>
          <w:rFonts w:ascii="Merriweather" w:eastAsia="Times New Roman" w:hAnsi="Merriweather" w:cs="Times New Roman"/>
          <w:color w:val="1E1E1E"/>
          <w:sz w:val="22"/>
          <w:szCs w:val="22"/>
        </w:rPr>
        <w:t>subds</w:t>
      </w:r>
      <w:proofErr w:type="spellEnd"/>
      <w:r w:rsidRPr="003957BB">
        <w:rPr>
          <w:rFonts w:ascii="Merriweather" w:eastAsia="Times New Roman" w:hAnsi="Merriweather" w:cs="Times New Roman"/>
          <w:color w:val="1E1E1E"/>
          <w:sz w:val="22"/>
          <w:szCs w:val="22"/>
        </w:rPr>
        <w:t>. (a) &amp; (c); </w:t>
      </w:r>
      <w:r w:rsidRPr="003957BB">
        <w:rPr>
          <w:rFonts w:ascii="Merriweather" w:eastAsia="Times New Roman" w:hAnsi="Merriweather" w:cs="Times New Roman"/>
          <w:i/>
          <w:iCs/>
          <w:color w:val="1E1E1E"/>
          <w:sz w:val="22"/>
          <w:szCs w:val="22"/>
        </w:rPr>
        <w:t>People v. Ellis</w:t>
      </w:r>
      <w:r w:rsidRPr="003957BB">
        <w:rPr>
          <w:rFonts w:ascii="Merriweather" w:eastAsia="Times New Roman" w:hAnsi="Merriweather" w:cs="Times New Roman"/>
          <w:color w:val="1E1E1E"/>
          <w:sz w:val="22"/>
          <w:szCs w:val="22"/>
        </w:rPr>
        <w:t xml:space="preserve"> (2019) 31 Cal.App.5th 1090, 1093.) </w:t>
      </w:r>
      <w:proofErr w:type="gramStart"/>
      <w:r w:rsidRPr="003957BB">
        <w:rPr>
          <w:rFonts w:ascii="Merriweather" w:eastAsia="Times New Roman" w:hAnsi="Merriweather" w:cs="Times New Roman"/>
          <w:color w:val="1E1E1E"/>
          <w:sz w:val="22"/>
          <w:szCs w:val="22"/>
        </w:rPr>
        <w:t>In light of</w:t>
      </w:r>
      <w:proofErr w:type="gramEnd"/>
      <w:r w:rsidRPr="003957BB">
        <w:rPr>
          <w:rFonts w:ascii="Merriweather" w:eastAsia="Times New Roman" w:hAnsi="Merriweather" w:cs="Times New Roman"/>
          <w:color w:val="1E1E1E"/>
          <w:sz w:val="22"/>
          <w:szCs w:val="22"/>
        </w:rPr>
        <w:t xml:space="preserve"> these statutes, we reject defendant's argument that his ability to earn prison wages is "speculative." The record also contains evidence that defendant, at the time of his crime, was employed. Because defendant "points to no evidence in the </w:t>
      </w:r>
      <w:r w:rsidRPr="003957BB">
        <w:rPr>
          <w:rFonts w:ascii="Merriweather" w:eastAsia="Times New Roman" w:hAnsi="Merriweather" w:cs="Times New Roman"/>
          <w:color w:val="1E1E1E"/>
          <w:sz w:val="22"/>
          <w:szCs w:val="22"/>
        </w:rPr>
        <w:lastRenderedPageBreak/>
        <w:t>record supporting his inability to pay" (</w:t>
      </w:r>
      <w:r w:rsidRPr="003957BB">
        <w:rPr>
          <w:rFonts w:ascii="Merriweather" w:eastAsia="Times New Roman" w:hAnsi="Merriweather" w:cs="Times New Roman"/>
          <w:i/>
          <w:iCs/>
          <w:color w:val="1E1E1E"/>
          <w:sz w:val="22"/>
          <w:szCs w:val="22"/>
        </w:rPr>
        <w:t>People v. Gamache</w:t>
      </w:r>
      <w:r w:rsidRPr="003957BB">
        <w:rPr>
          <w:rFonts w:ascii="Merriweather" w:eastAsia="Times New Roman" w:hAnsi="Merriweather" w:cs="Times New Roman"/>
          <w:color w:val="1E1E1E"/>
          <w:sz w:val="22"/>
          <w:szCs w:val="22"/>
        </w:rPr>
        <w:t> (2010) </w:t>
      </w:r>
      <w:hyperlink r:id="rId46" w:history="1">
        <w:r w:rsidRPr="003957BB">
          <w:rPr>
            <w:rFonts w:ascii="Merriweather" w:eastAsia="Times New Roman" w:hAnsi="Merriweather" w:cs="Times New Roman"/>
            <w:color w:val="00528B"/>
            <w:sz w:val="22"/>
            <w:szCs w:val="22"/>
            <w:u w:val="single"/>
          </w:rPr>
          <w:t>48 Cal.4th 347</w:t>
        </w:r>
      </w:hyperlink>
      <w:r w:rsidRPr="003957BB">
        <w:rPr>
          <w:rFonts w:ascii="Merriweather" w:eastAsia="Times New Roman" w:hAnsi="Merriweather" w:cs="Times New Roman"/>
          <w:color w:val="1E1E1E"/>
          <w:sz w:val="22"/>
          <w:szCs w:val="22"/>
        </w:rPr>
        <w:t>, 409), and hence no evidence that he would suffer any consequence for non-payment, a remand would serve no purpose. Defendant asserts for the first time in his reply brief, and without citation to authority, that the presumption that a defendant sentenced to prison is unable to reimburse the costs of defense "applies equally" to fines and fees. We need not decide whether this assertion is correct because, for the reasons described above, any presumption has been rebutted as to the minimum fines and fees imposed in this case.</w:t>
      </w:r>
    </w:p>
    <w:p w14:paraId="285E3EB5"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3957BB">
        <w:rPr>
          <w:rFonts w:ascii="Oswald" w:eastAsia="Times New Roman" w:hAnsi="Oswald" w:cs="Times New Roman"/>
          <w:b/>
          <w:bCs/>
          <w:color w:val="4A4A4A"/>
          <w:spacing w:val="24"/>
          <w:sz w:val="29"/>
          <w:szCs w:val="29"/>
        </w:rPr>
        <w:t>DISPOSITION</w:t>
      </w:r>
    </w:p>
    <w:p w14:paraId="429867D7"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The matter is remanded for the limited purpose of allowing the trial court to exercise its sentencing discretion under section 12022.53, subdivision (h) (2019). In all other respects, the judgment of conviction is affirmed.</w:t>
      </w:r>
    </w:p>
    <w:p w14:paraId="6BD484E2" w14:textId="77777777" w:rsidR="003957BB" w:rsidRPr="003957BB" w:rsidRDefault="003957BB" w:rsidP="003957BB">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3957BB">
        <w:rPr>
          <w:rFonts w:ascii="Merriweather" w:eastAsia="Times New Roman" w:hAnsi="Merriweather" w:cs="Times New Roman"/>
          <w:color w:val="1E1E1E"/>
          <w:sz w:val="22"/>
          <w:szCs w:val="22"/>
        </w:rPr>
        <w:t>LUI, P. J. and CHAVEZ, J., concurs.</w:t>
      </w:r>
    </w:p>
    <w:p w14:paraId="52FAD3E0" w14:textId="77777777" w:rsidR="003957BB" w:rsidRPr="003957BB" w:rsidRDefault="003957BB" w:rsidP="003957BB">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proofErr w:type="spellStart"/>
      <w:r w:rsidRPr="003957BB">
        <w:rPr>
          <w:rFonts w:ascii="Oswald" w:eastAsia="Times New Roman" w:hAnsi="Oswald" w:cs="Times New Roman"/>
          <w:b/>
          <w:bCs/>
          <w:color w:val="4A4A4A"/>
          <w:spacing w:val="24"/>
          <w:sz w:val="29"/>
          <w:szCs w:val="29"/>
        </w:rPr>
        <w:t>FootNotes</w:t>
      </w:r>
      <w:proofErr w:type="spellEnd"/>
    </w:p>
    <w:p w14:paraId="7B9F294A" w14:textId="77777777" w:rsidR="003957BB" w:rsidRPr="003957BB" w:rsidRDefault="003957BB" w:rsidP="003957BB">
      <w:pPr>
        <w:spacing w:line="360" w:lineRule="atLeast"/>
        <w:textAlignment w:val="top"/>
        <w:rPr>
          <w:rFonts w:ascii="Merriweather" w:eastAsia="Times New Roman" w:hAnsi="Merriweather" w:cs="Times New Roman"/>
          <w:color w:val="4A4A4A"/>
          <w:sz w:val="22"/>
          <w:szCs w:val="22"/>
        </w:rPr>
      </w:pPr>
      <w:r w:rsidRPr="003957BB">
        <w:rPr>
          <w:rFonts w:ascii="Merriweather" w:eastAsia="Times New Roman" w:hAnsi="Merriweather" w:cs="Times New Roman"/>
          <w:color w:val="4A4A4A"/>
          <w:sz w:val="22"/>
          <w:szCs w:val="22"/>
        </w:rPr>
        <w:br/>
        <w:t xml:space="preserve">1. The People also charged Lopez and </w:t>
      </w:r>
      <w:proofErr w:type="spellStart"/>
      <w:r w:rsidRPr="003957BB">
        <w:rPr>
          <w:rFonts w:ascii="Merriweather" w:eastAsia="Times New Roman" w:hAnsi="Merriweather" w:cs="Times New Roman"/>
          <w:color w:val="4A4A4A"/>
          <w:sz w:val="22"/>
          <w:szCs w:val="22"/>
        </w:rPr>
        <w:t>Brazile</w:t>
      </w:r>
      <w:proofErr w:type="spellEnd"/>
      <w:r w:rsidRPr="003957BB">
        <w:rPr>
          <w:rFonts w:ascii="Merriweather" w:eastAsia="Times New Roman" w:hAnsi="Merriweather" w:cs="Times New Roman"/>
          <w:color w:val="4A4A4A"/>
          <w:sz w:val="22"/>
          <w:szCs w:val="22"/>
        </w:rPr>
        <w:t xml:space="preserve"> with murder, charged Lopez with assault with a firearm (§ 245, </w:t>
      </w:r>
      <w:proofErr w:type="spellStart"/>
      <w:r w:rsidRPr="003957BB">
        <w:rPr>
          <w:rFonts w:ascii="Merriweather" w:eastAsia="Times New Roman" w:hAnsi="Merriweather" w:cs="Times New Roman"/>
          <w:color w:val="4A4A4A"/>
          <w:sz w:val="22"/>
          <w:szCs w:val="22"/>
        </w:rPr>
        <w:t>subd</w:t>
      </w:r>
      <w:proofErr w:type="spellEnd"/>
      <w:r w:rsidRPr="003957BB">
        <w:rPr>
          <w:rFonts w:ascii="Merriweather" w:eastAsia="Times New Roman" w:hAnsi="Merriweather" w:cs="Times New Roman"/>
          <w:color w:val="4A4A4A"/>
          <w:sz w:val="22"/>
          <w:szCs w:val="22"/>
        </w:rPr>
        <w:t xml:space="preserve">. (a)(2)) and charged </w:t>
      </w:r>
      <w:proofErr w:type="spellStart"/>
      <w:r w:rsidRPr="003957BB">
        <w:rPr>
          <w:rFonts w:ascii="Merriweather" w:eastAsia="Times New Roman" w:hAnsi="Merriweather" w:cs="Times New Roman"/>
          <w:color w:val="4A4A4A"/>
          <w:sz w:val="22"/>
          <w:szCs w:val="22"/>
        </w:rPr>
        <w:t>Brazile</w:t>
      </w:r>
      <w:proofErr w:type="spellEnd"/>
      <w:r w:rsidRPr="003957BB">
        <w:rPr>
          <w:rFonts w:ascii="Merriweather" w:eastAsia="Times New Roman" w:hAnsi="Merriweather" w:cs="Times New Roman"/>
          <w:color w:val="4A4A4A"/>
          <w:sz w:val="22"/>
          <w:szCs w:val="22"/>
        </w:rPr>
        <w:t xml:space="preserve"> with voluntary manslaughter (§ 192, </w:t>
      </w:r>
      <w:proofErr w:type="spellStart"/>
      <w:r w:rsidRPr="003957BB">
        <w:rPr>
          <w:rFonts w:ascii="Merriweather" w:eastAsia="Times New Roman" w:hAnsi="Merriweather" w:cs="Times New Roman"/>
          <w:color w:val="4A4A4A"/>
          <w:sz w:val="22"/>
          <w:szCs w:val="22"/>
        </w:rPr>
        <w:t>subd</w:t>
      </w:r>
      <w:proofErr w:type="spellEnd"/>
      <w:r w:rsidRPr="003957BB">
        <w:rPr>
          <w:rFonts w:ascii="Merriweather" w:eastAsia="Times New Roman" w:hAnsi="Merriweather" w:cs="Times New Roman"/>
          <w:color w:val="4A4A4A"/>
          <w:sz w:val="22"/>
          <w:szCs w:val="22"/>
        </w:rPr>
        <w:t xml:space="preserve">. (a)). The other defendants were tried </w:t>
      </w:r>
      <w:proofErr w:type="gramStart"/>
      <w:r w:rsidRPr="003957BB">
        <w:rPr>
          <w:rFonts w:ascii="Merriweather" w:eastAsia="Times New Roman" w:hAnsi="Merriweather" w:cs="Times New Roman"/>
          <w:color w:val="4A4A4A"/>
          <w:sz w:val="22"/>
          <w:szCs w:val="22"/>
        </w:rPr>
        <w:t>separately, and</w:t>
      </w:r>
      <w:proofErr w:type="gramEnd"/>
      <w:r w:rsidRPr="003957BB">
        <w:rPr>
          <w:rFonts w:ascii="Merriweather" w:eastAsia="Times New Roman" w:hAnsi="Merriweather" w:cs="Times New Roman"/>
          <w:color w:val="4A4A4A"/>
          <w:sz w:val="22"/>
          <w:szCs w:val="22"/>
        </w:rPr>
        <w:t xml:space="preserve"> are not part of this appeal. All further statutory references are to the Penal Code unless otherwise indicated.</w:t>
      </w:r>
    </w:p>
    <w:p w14:paraId="23FFF1D2" w14:textId="77777777" w:rsidR="003957BB" w:rsidRPr="003957BB" w:rsidRDefault="003957BB" w:rsidP="003957BB">
      <w:pPr>
        <w:spacing w:line="360" w:lineRule="atLeast"/>
        <w:textAlignment w:val="top"/>
        <w:rPr>
          <w:rFonts w:ascii="Merriweather" w:eastAsia="Times New Roman" w:hAnsi="Merriweather" w:cs="Times New Roman"/>
          <w:color w:val="4A4A4A"/>
          <w:sz w:val="22"/>
          <w:szCs w:val="22"/>
        </w:rPr>
      </w:pPr>
      <w:r w:rsidRPr="003957BB">
        <w:rPr>
          <w:rFonts w:ascii="Merriweather" w:eastAsia="Times New Roman" w:hAnsi="Merriweather" w:cs="Times New Roman"/>
          <w:color w:val="4A4A4A"/>
          <w:sz w:val="22"/>
          <w:szCs w:val="22"/>
        </w:rPr>
        <w:t>2. The trial court also instructed the jury on the lesser included offense of involuntary manslaughter, but later instructed the jury to disregard that instruction.</w:t>
      </w:r>
    </w:p>
    <w:p w14:paraId="2CECDB88" w14:textId="77777777" w:rsidR="003957BB" w:rsidRPr="003957BB" w:rsidRDefault="003957BB" w:rsidP="003957BB">
      <w:pPr>
        <w:spacing w:line="360" w:lineRule="atLeast"/>
        <w:textAlignment w:val="top"/>
        <w:rPr>
          <w:rFonts w:ascii="Merriweather" w:eastAsia="Times New Roman" w:hAnsi="Merriweather" w:cs="Times New Roman"/>
          <w:color w:val="4A4A4A"/>
          <w:sz w:val="22"/>
          <w:szCs w:val="22"/>
        </w:rPr>
      </w:pPr>
      <w:r w:rsidRPr="003957BB">
        <w:rPr>
          <w:rFonts w:ascii="Merriweather" w:eastAsia="Times New Roman" w:hAnsi="Merriweather" w:cs="Times New Roman"/>
          <w:color w:val="4A4A4A"/>
          <w:sz w:val="22"/>
          <w:szCs w:val="22"/>
        </w:rPr>
        <w:t>3. Under this definition, an unintentional killing can be voluntary manslaughter if it is preceded by an intentional act that is, and is known to be, dangerous to human life.</w:t>
      </w:r>
    </w:p>
    <w:p w14:paraId="6B1AA2FE" w14:textId="3494057D" w:rsidR="005E21F0" w:rsidRDefault="00447603"/>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1F54"/>
    <w:multiLevelType w:val="multilevel"/>
    <w:tmpl w:val="3BE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BB"/>
    <w:rsid w:val="00386DEC"/>
    <w:rsid w:val="003957BB"/>
    <w:rsid w:val="00447603"/>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2B75"/>
  <w15:chartTrackingRefBased/>
  <w15:docId w15:val="{5069460E-CDE6-D943-B8A9-02B0AA17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57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957B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7B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957BB"/>
    <w:rPr>
      <w:rFonts w:ascii="Times New Roman" w:eastAsia="Times New Roman" w:hAnsi="Times New Roman" w:cs="Times New Roman"/>
      <w:b/>
      <w:bCs/>
    </w:rPr>
  </w:style>
  <w:style w:type="character" w:styleId="Hyperlink">
    <w:name w:val="Hyperlink"/>
    <w:basedOn w:val="DefaultParagraphFont"/>
    <w:uiPriority w:val="99"/>
    <w:semiHidden/>
    <w:unhideWhenUsed/>
    <w:rsid w:val="003957BB"/>
    <w:rPr>
      <w:color w:val="0000FF"/>
      <w:u w:val="single"/>
    </w:rPr>
  </w:style>
  <w:style w:type="paragraph" w:customStyle="1" w:styleId="decision-tab">
    <w:name w:val="decision-tab"/>
    <w:basedOn w:val="Normal"/>
    <w:rsid w:val="003957B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957BB"/>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39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3419">
      <w:bodyDiv w:val="1"/>
      <w:marLeft w:val="0"/>
      <w:marRight w:val="0"/>
      <w:marTop w:val="0"/>
      <w:marBottom w:val="0"/>
      <w:divBdr>
        <w:top w:val="none" w:sz="0" w:space="0" w:color="auto"/>
        <w:left w:val="none" w:sz="0" w:space="0" w:color="auto"/>
        <w:bottom w:val="none" w:sz="0" w:space="0" w:color="auto"/>
        <w:right w:val="none" w:sz="0" w:space="0" w:color="auto"/>
      </w:divBdr>
      <w:divsChild>
        <w:div w:id="1565947409">
          <w:marLeft w:val="0"/>
          <w:marRight w:val="0"/>
          <w:marTop w:val="0"/>
          <w:marBottom w:val="0"/>
          <w:divBdr>
            <w:top w:val="none" w:sz="0" w:space="0" w:color="auto"/>
            <w:left w:val="none" w:sz="0" w:space="0" w:color="auto"/>
            <w:bottom w:val="none" w:sz="0" w:space="0" w:color="auto"/>
            <w:right w:val="none" w:sz="0" w:space="0" w:color="auto"/>
          </w:divBdr>
          <w:divsChild>
            <w:div w:id="1344941478">
              <w:marLeft w:val="0"/>
              <w:marRight w:val="0"/>
              <w:marTop w:val="0"/>
              <w:marBottom w:val="0"/>
              <w:divBdr>
                <w:top w:val="none" w:sz="0" w:space="0" w:color="auto"/>
                <w:left w:val="none" w:sz="0" w:space="0" w:color="auto"/>
                <w:bottom w:val="none" w:sz="0" w:space="0" w:color="auto"/>
                <w:right w:val="none" w:sz="0" w:space="0" w:color="auto"/>
              </w:divBdr>
            </w:div>
            <w:div w:id="1957175041">
              <w:marLeft w:val="0"/>
              <w:marRight w:val="0"/>
              <w:marTop w:val="0"/>
              <w:marBottom w:val="0"/>
              <w:divBdr>
                <w:top w:val="none" w:sz="0" w:space="0" w:color="auto"/>
                <w:left w:val="none" w:sz="0" w:space="0" w:color="auto"/>
                <w:bottom w:val="none" w:sz="0" w:space="0" w:color="auto"/>
                <w:right w:val="none" w:sz="0" w:space="0" w:color="auto"/>
              </w:divBdr>
              <w:divsChild>
                <w:div w:id="1435056362">
                  <w:marLeft w:val="0"/>
                  <w:marRight w:val="0"/>
                  <w:marTop w:val="0"/>
                  <w:marBottom w:val="0"/>
                  <w:divBdr>
                    <w:top w:val="none" w:sz="0" w:space="0" w:color="auto"/>
                    <w:left w:val="none" w:sz="0" w:space="0" w:color="auto"/>
                    <w:bottom w:val="none" w:sz="0" w:space="0" w:color="auto"/>
                    <w:right w:val="none" w:sz="0" w:space="0" w:color="auto"/>
                  </w:divBdr>
                </w:div>
              </w:divsChild>
            </w:div>
            <w:div w:id="2095588885">
              <w:marLeft w:val="0"/>
              <w:marRight w:val="0"/>
              <w:marTop w:val="0"/>
              <w:marBottom w:val="0"/>
              <w:divBdr>
                <w:top w:val="none" w:sz="0" w:space="0" w:color="auto"/>
                <w:left w:val="none" w:sz="0" w:space="0" w:color="auto"/>
                <w:bottom w:val="single" w:sz="6" w:space="0" w:color="979797"/>
                <w:right w:val="none" w:sz="0" w:space="0" w:color="auto"/>
              </w:divBdr>
            </w:div>
            <w:div w:id="667246444">
              <w:marLeft w:val="0"/>
              <w:marRight w:val="0"/>
              <w:marTop w:val="0"/>
              <w:marBottom w:val="0"/>
              <w:divBdr>
                <w:top w:val="none" w:sz="0" w:space="0" w:color="auto"/>
                <w:left w:val="none" w:sz="0" w:space="0" w:color="auto"/>
                <w:bottom w:val="none" w:sz="0" w:space="0" w:color="auto"/>
                <w:right w:val="none" w:sz="0" w:space="0" w:color="auto"/>
              </w:divBdr>
              <w:divsChild>
                <w:div w:id="2078048241">
                  <w:marLeft w:val="0"/>
                  <w:marRight w:val="0"/>
                  <w:marTop w:val="0"/>
                  <w:marBottom w:val="0"/>
                  <w:divBdr>
                    <w:top w:val="none" w:sz="0" w:space="0" w:color="auto"/>
                    <w:left w:val="none" w:sz="0" w:space="0" w:color="auto"/>
                    <w:bottom w:val="none" w:sz="0" w:space="0" w:color="auto"/>
                    <w:right w:val="none" w:sz="0" w:space="0" w:color="auto"/>
                  </w:divBdr>
                </w:div>
                <w:div w:id="19680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78959">
          <w:marLeft w:val="0"/>
          <w:marRight w:val="0"/>
          <w:marTop w:val="0"/>
          <w:marBottom w:val="0"/>
          <w:divBdr>
            <w:top w:val="none" w:sz="0" w:space="0" w:color="auto"/>
            <w:left w:val="none" w:sz="0" w:space="0" w:color="auto"/>
            <w:bottom w:val="none" w:sz="0" w:space="0" w:color="auto"/>
            <w:right w:val="none" w:sz="0" w:space="0" w:color="auto"/>
          </w:divBdr>
          <w:divsChild>
            <w:div w:id="2056192284">
              <w:marLeft w:val="0"/>
              <w:marRight w:val="0"/>
              <w:marTop w:val="0"/>
              <w:marBottom w:val="0"/>
              <w:divBdr>
                <w:top w:val="none" w:sz="0" w:space="0" w:color="auto"/>
                <w:left w:val="none" w:sz="0" w:space="0" w:color="auto"/>
                <w:bottom w:val="none" w:sz="0" w:space="0" w:color="auto"/>
                <w:right w:val="none" w:sz="0" w:space="0" w:color="auto"/>
              </w:divBdr>
              <w:divsChild>
                <w:div w:id="372115803">
                  <w:marLeft w:val="0"/>
                  <w:marRight w:val="0"/>
                  <w:marTop w:val="0"/>
                  <w:marBottom w:val="0"/>
                  <w:divBdr>
                    <w:top w:val="none" w:sz="0" w:space="0" w:color="auto"/>
                    <w:left w:val="none" w:sz="0" w:space="0" w:color="auto"/>
                    <w:bottom w:val="none" w:sz="0" w:space="0" w:color="auto"/>
                    <w:right w:val="none" w:sz="0" w:space="0" w:color="auto"/>
                  </w:divBdr>
                  <w:divsChild>
                    <w:div w:id="501966663">
                      <w:marLeft w:val="0"/>
                      <w:marRight w:val="0"/>
                      <w:marTop w:val="0"/>
                      <w:marBottom w:val="0"/>
                      <w:divBdr>
                        <w:top w:val="none" w:sz="0" w:space="0" w:color="auto"/>
                        <w:left w:val="none" w:sz="0" w:space="0" w:color="auto"/>
                        <w:bottom w:val="none" w:sz="0" w:space="0" w:color="auto"/>
                        <w:right w:val="none" w:sz="0" w:space="0" w:color="auto"/>
                      </w:divBdr>
                    </w:div>
                    <w:div w:id="711271137">
                      <w:marLeft w:val="0"/>
                      <w:marRight w:val="0"/>
                      <w:marTop w:val="0"/>
                      <w:marBottom w:val="0"/>
                      <w:divBdr>
                        <w:top w:val="none" w:sz="0" w:space="0" w:color="auto"/>
                        <w:left w:val="none" w:sz="0" w:space="0" w:color="auto"/>
                        <w:bottom w:val="none" w:sz="0" w:space="0" w:color="auto"/>
                        <w:right w:val="none" w:sz="0" w:space="0" w:color="auto"/>
                      </w:divBdr>
                      <w:divsChild>
                        <w:div w:id="7427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Lance%20E.%20Winters/PEOPLE%20v.%20GARCIA/incaco20190808010" TargetMode="External"/><Relationship Id="rId18" Type="http://schemas.openxmlformats.org/officeDocument/2006/relationships/hyperlink" Target="https://www.leagle.com/cite/32%20Cal.4th%20193" TargetMode="External"/><Relationship Id="rId26" Type="http://schemas.openxmlformats.org/officeDocument/2006/relationships/hyperlink" Target="https://www.leagle.com/cite/61%20Cal.4th%201015" TargetMode="External"/><Relationship Id="rId39" Type="http://schemas.openxmlformats.org/officeDocument/2006/relationships/hyperlink" Target="https://www.leagle.com/cite/53%20Cal.App.4th%20489" TargetMode="External"/><Relationship Id="rId21" Type="http://schemas.openxmlformats.org/officeDocument/2006/relationships/hyperlink" Target="https://www.leagle.com/cite/12%20Cal.4th%20186" TargetMode="External"/><Relationship Id="rId34" Type="http://schemas.openxmlformats.org/officeDocument/2006/relationships/hyperlink" Target="https://www.leagle.com/cite/23%20Cal.4th%20101" TargetMode="External"/><Relationship Id="rId42" Type="http://schemas.openxmlformats.org/officeDocument/2006/relationships/hyperlink" Target="https://www.leagle.com/cite/47%20Cal.4th%20583" TargetMode="External"/><Relationship Id="rId47" Type="http://schemas.openxmlformats.org/officeDocument/2006/relationships/fontTable" Target="fontTable.xml"/><Relationship Id="rId7" Type="http://schemas.openxmlformats.org/officeDocument/2006/relationships/hyperlink" Target="https://www.leagle.com/decision/incaco20190808010" TargetMode="External"/><Relationship Id="rId2" Type="http://schemas.openxmlformats.org/officeDocument/2006/relationships/styles" Target="styles.xml"/><Relationship Id="rId16" Type="http://schemas.openxmlformats.org/officeDocument/2006/relationships/hyperlink" Target="https://www.leagle.com/decision/incaco20190808010" TargetMode="External"/><Relationship Id="rId29" Type="http://schemas.openxmlformats.org/officeDocument/2006/relationships/hyperlink" Target="https://www.leagle.com/cite/48%20Cal.4th%20691" TargetMode="External"/><Relationship Id="rId1" Type="http://schemas.openxmlformats.org/officeDocument/2006/relationships/numbering" Target="numbering.xml"/><Relationship Id="rId6" Type="http://schemas.openxmlformats.org/officeDocument/2006/relationships/hyperlink" Target="https://www.leagle.com/decision/incaco20190808010" TargetMode="External"/><Relationship Id="rId11" Type="http://schemas.openxmlformats.org/officeDocument/2006/relationships/hyperlink" Target="https://www.leagle.com/attorney/cite/Xavier%20Becerra/PEOPLE%20v.%20GARCIA/incaco20190808010" TargetMode="External"/><Relationship Id="rId24" Type="http://schemas.openxmlformats.org/officeDocument/2006/relationships/hyperlink" Target="https://www.leagle.com/cite/25%20Cal.3d%20668" TargetMode="External"/><Relationship Id="rId32" Type="http://schemas.openxmlformats.org/officeDocument/2006/relationships/hyperlink" Target="https://www.leagle.com/cite/43%20Cal.2d%20517" TargetMode="External"/><Relationship Id="rId37" Type="http://schemas.openxmlformats.org/officeDocument/2006/relationships/hyperlink" Target="https://www.leagle.com/decision/incaco20190808010" TargetMode="External"/><Relationship Id="rId40" Type="http://schemas.openxmlformats.org/officeDocument/2006/relationships/hyperlink" Target="https://www.leagle.com/cite/33%20Cal.4th%20367" TargetMode="External"/><Relationship Id="rId45" Type="http://schemas.openxmlformats.org/officeDocument/2006/relationships/hyperlink" Target="https://www.leagle.com/cite/28%20Cal.App.4th%201374" TargetMode="External"/><Relationship Id="rId5" Type="http://schemas.openxmlformats.org/officeDocument/2006/relationships/hyperlink" Target="https://www.leagle.com/decision/incaco20190808010" TargetMode="External"/><Relationship Id="rId15" Type="http://schemas.openxmlformats.org/officeDocument/2006/relationships/hyperlink" Target="https://www.leagle.com/attorney/cite/Mary%20Sanchez/PEOPLE%20v.%20GARCIA/incaco20190808010" TargetMode="External"/><Relationship Id="rId23" Type="http://schemas.openxmlformats.org/officeDocument/2006/relationships/hyperlink" Target="https://www.leagle.com/cite/27%20Cal.4th%20287" TargetMode="External"/><Relationship Id="rId28" Type="http://schemas.openxmlformats.org/officeDocument/2006/relationships/hyperlink" Target="https://www.leagle.com/cite/44%20Cal.App.4th%20634" TargetMode="External"/><Relationship Id="rId36" Type="http://schemas.openxmlformats.org/officeDocument/2006/relationships/hyperlink" Target="https://www.leagle.com/cite/62%20Cal.4th%201192" TargetMode="External"/><Relationship Id="rId10" Type="http://schemas.openxmlformats.org/officeDocument/2006/relationships/hyperlink" Target="https://www.leagle.com/attorney/cite/Susan%20K.%20Shaler/PEOPLE%20v.%20GARCIA/incaco20190808010" TargetMode="External"/><Relationship Id="rId19" Type="http://schemas.openxmlformats.org/officeDocument/2006/relationships/hyperlink" Target="https://www.leagle.com/cite/28%20Cal.4th%20486" TargetMode="External"/><Relationship Id="rId31" Type="http://schemas.openxmlformats.org/officeDocument/2006/relationships/hyperlink" Target="https://www.leagle.com/cite/13%20Cal.4th%201055" TargetMode="External"/><Relationship Id="rId44" Type="http://schemas.openxmlformats.org/officeDocument/2006/relationships/hyperlink" Target="https://www.leagle.com/cite/37%20Cal.App.4th%201830" TargetMode="External"/><Relationship Id="rId4" Type="http://schemas.openxmlformats.org/officeDocument/2006/relationships/webSettings" Target="webSettings.xml"/><Relationship Id="rId9" Type="http://schemas.openxmlformats.org/officeDocument/2006/relationships/hyperlink" Target="https://www.leagle.com/decision/citedcases/incaco20190808010" TargetMode="External"/><Relationship Id="rId14" Type="http://schemas.openxmlformats.org/officeDocument/2006/relationships/hyperlink" Target="https://www.leagle.com/attorney/cite/Susan%20Sullivan%20Pithey/PEOPLE%20v.%20GARCIA/incaco20190808010" TargetMode="External"/><Relationship Id="rId22" Type="http://schemas.openxmlformats.org/officeDocument/2006/relationships/hyperlink" Target="https://www.leagle.com/cite/44%20Cal.4th%20636" TargetMode="External"/><Relationship Id="rId27" Type="http://schemas.openxmlformats.org/officeDocument/2006/relationships/hyperlink" Target="https://www.leagle.com/cite/175%20Cal.App.4th%20843" TargetMode="External"/><Relationship Id="rId30" Type="http://schemas.openxmlformats.org/officeDocument/2006/relationships/hyperlink" Target="https://www.leagle.com/cite/8%20Cal.App.4th%201658" TargetMode="External"/><Relationship Id="rId35" Type="http://schemas.openxmlformats.org/officeDocument/2006/relationships/hyperlink" Target="https://www.leagle.com/cite/23%20Cal.4th%2082" TargetMode="External"/><Relationship Id="rId43" Type="http://schemas.openxmlformats.org/officeDocument/2006/relationships/hyperlink" Target="https://www.leagle.com/cite/128%20Cal.App.3d%20354" TargetMode="External"/><Relationship Id="rId48" Type="http://schemas.openxmlformats.org/officeDocument/2006/relationships/theme" Target="theme/theme1.xml"/><Relationship Id="rId8" Type="http://schemas.openxmlformats.org/officeDocument/2006/relationships/hyperlink" Target="https://www.leagle.com/decision/incaco20190808010" TargetMode="External"/><Relationship Id="rId3" Type="http://schemas.openxmlformats.org/officeDocument/2006/relationships/settings" Target="settings.xml"/><Relationship Id="rId12" Type="http://schemas.openxmlformats.org/officeDocument/2006/relationships/hyperlink" Target="https://www.leagle.com/attorney/cite/Gerald%20A.%20Engler/PEOPLE%20v.%20GARCIA/incaco20190808010" TargetMode="External"/><Relationship Id="rId17" Type="http://schemas.openxmlformats.org/officeDocument/2006/relationships/hyperlink" Target="https://www.leagle.com/decision/incaco20190808010" TargetMode="External"/><Relationship Id="rId25" Type="http://schemas.openxmlformats.org/officeDocument/2006/relationships/hyperlink" Target="https://www.leagle.com/cite/222%20Cal.App.4th%201122" TargetMode="External"/><Relationship Id="rId33" Type="http://schemas.openxmlformats.org/officeDocument/2006/relationships/hyperlink" Target="https://www.leagle.com/cite/223%20Cal.App.4th%201158" TargetMode="External"/><Relationship Id="rId38" Type="http://schemas.openxmlformats.org/officeDocument/2006/relationships/hyperlink" Target="https://www.leagle.com/cite/185%20Cal.App.3d%20711" TargetMode="External"/><Relationship Id="rId46" Type="http://schemas.openxmlformats.org/officeDocument/2006/relationships/hyperlink" Target="https://www.leagle.com/cite/48%20Cal.4th%20347" TargetMode="External"/><Relationship Id="rId20" Type="http://schemas.openxmlformats.org/officeDocument/2006/relationships/hyperlink" Target="https://www.leagle.com/cite/35%20Cal.4th%20987" TargetMode="External"/><Relationship Id="rId41" Type="http://schemas.openxmlformats.org/officeDocument/2006/relationships/hyperlink" Target="https://www.leagle.com/cite/50%20Cal.App.4th%20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3852</Words>
  <Characters>21959</Characters>
  <Application>Microsoft Office Word</Application>
  <DocSecurity>0</DocSecurity>
  <Lines>182</Lines>
  <Paragraphs>51</Paragraphs>
  <ScaleCrop>false</ScaleCrop>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2021-09-28T20:52:00Z</dcterms:created>
  <dcterms:modified xsi:type="dcterms:W3CDTF">2021-09-28T20:53:00Z</dcterms:modified>
</cp:coreProperties>
</file>